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A582D" w14:textId="3DB40ABC"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00776106" w:rsidRPr="00776106">
        <w:rPr>
          <w:rFonts w:ascii="Arial" w:eastAsia="SimSun" w:hAnsi="Arial" w:cs="Times New Roman"/>
          <w:b/>
          <w:bCs/>
          <w:sz w:val="24"/>
          <w:szCs w:val="20"/>
          <w:lang w:eastAsia="ja-JP"/>
        </w:rPr>
        <w:t>R4-2402384</w:t>
      </w:r>
    </w:p>
    <w:p w14:paraId="38E57DE8" w14:textId="77777777"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19</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571BF2AA"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639453D"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3E221B10" w14:textId="7A0D1E65" w:rsidR="00841BCD" w:rsidRPr="00D81C89" w:rsidRDefault="00841BCD" w:rsidP="00841BCD">
      <w:pPr>
        <w:ind w:left="1985" w:hanging="1985"/>
        <w:rPr>
          <w:rFonts w:ascii="Arial" w:eastAsia="Calibri" w:hAnsi="Arial" w:cs="Arial"/>
          <w:b/>
          <w:bCs/>
          <w:sz w:val="24"/>
        </w:rPr>
      </w:pPr>
      <w:r w:rsidRPr="00D81C89">
        <w:rPr>
          <w:rFonts w:ascii="Arial" w:eastAsia="Calibri" w:hAnsi="Arial" w:cs="Arial"/>
          <w:b/>
          <w:bCs/>
          <w:sz w:val="24"/>
        </w:rPr>
        <w:t>Title:</w:t>
      </w:r>
      <w:r w:rsidRPr="00D81C89">
        <w:rPr>
          <w:rFonts w:ascii="Arial" w:eastAsia="Calibri" w:hAnsi="Arial" w:cs="Arial"/>
          <w:b/>
          <w:bCs/>
          <w:sz w:val="24"/>
        </w:rPr>
        <w:tab/>
      </w:r>
      <w:r w:rsidR="00D81C89" w:rsidRPr="00D81C89">
        <w:rPr>
          <w:rFonts w:ascii="Arial" w:eastAsia="Calibri" w:hAnsi="Arial" w:cs="Arial"/>
          <w:b/>
          <w:bCs/>
          <w:sz w:val="24"/>
        </w:rPr>
        <w:t xml:space="preserve">Considerations on </w:t>
      </w:r>
      <w:r w:rsidR="00C81979">
        <w:rPr>
          <w:rFonts w:ascii="Arial" w:eastAsia="Calibri" w:hAnsi="Arial" w:cs="Arial"/>
          <w:b/>
          <w:bCs/>
          <w:sz w:val="24"/>
        </w:rPr>
        <w:t>Satellite Switching with re-sync</w:t>
      </w:r>
    </w:p>
    <w:p w14:paraId="3D750FDA" w14:textId="28327261" w:rsidR="00841BCD" w:rsidRPr="00D81C89" w:rsidRDefault="00841BCD" w:rsidP="00841BCD">
      <w:pPr>
        <w:tabs>
          <w:tab w:val="left" w:pos="1985"/>
        </w:tabs>
        <w:spacing w:after="120" w:line="240" w:lineRule="auto"/>
        <w:rPr>
          <w:rFonts w:ascii="Arial" w:eastAsia="MS Mincho" w:hAnsi="Arial" w:cs="Arial"/>
          <w:b/>
          <w:bCs/>
          <w:sz w:val="24"/>
          <w:szCs w:val="20"/>
          <w:lang w:val="pt-BR"/>
        </w:rPr>
      </w:pPr>
      <w:r w:rsidRPr="00D81C89">
        <w:rPr>
          <w:rFonts w:ascii="Arial" w:eastAsia="MS Mincho" w:hAnsi="Arial" w:cs="Arial"/>
          <w:b/>
          <w:bCs/>
          <w:sz w:val="24"/>
          <w:szCs w:val="20"/>
          <w:lang w:val="pt-BR"/>
        </w:rPr>
        <w:t>Agenda item:</w:t>
      </w:r>
      <w:r w:rsidRPr="00D81C89">
        <w:rPr>
          <w:rFonts w:ascii="Arial" w:eastAsia="MS Mincho" w:hAnsi="Arial" w:cs="Arial"/>
          <w:b/>
          <w:bCs/>
          <w:sz w:val="24"/>
          <w:szCs w:val="20"/>
          <w:lang w:val="pt-BR"/>
        </w:rPr>
        <w:tab/>
      </w:r>
      <w:r w:rsidR="00D81C89">
        <w:rPr>
          <w:rFonts w:ascii="Arial" w:eastAsia="MS Mincho" w:hAnsi="Arial" w:cs="Arial"/>
          <w:b/>
          <w:bCs/>
          <w:sz w:val="24"/>
          <w:szCs w:val="20"/>
          <w:lang w:val="pt-BR"/>
        </w:rPr>
        <w:t>8.18.6.3</w:t>
      </w:r>
    </w:p>
    <w:p w14:paraId="4EEDEC45" w14:textId="7E76DBB9"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D81C89">
        <w:rPr>
          <w:rFonts w:ascii="Arial" w:eastAsia="Calibri" w:hAnsi="Arial" w:cs="Arial"/>
          <w:b/>
          <w:bCs/>
          <w:sz w:val="24"/>
        </w:rPr>
        <w:t>Approval</w:t>
      </w:r>
    </w:p>
    <w:p w14:paraId="188DF740" w14:textId="77777777" w:rsidR="00E323E9" w:rsidRPr="00381F95" w:rsidRDefault="00E323E9" w:rsidP="00841BCD">
      <w:pPr>
        <w:tabs>
          <w:tab w:val="left" w:pos="1985"/>
        </w:tabs>
        <w:rPr>
          <w:rFonts w:ascii="Arial" w:eastAsia="Calibri" w:hAnsi="Arial" w:cs="Arial"/>
          <w:b/>
          <w:bCs/>
          <w:sz w:val="24"/>
        </w:rPr>
      </w:pPr>
    </w:p>
    <w:p w14:paraId="1953001C" w14:textId="77777777" w:rsidR="00841BCD" w:rsidRPr="00381F95" w:rsidRDefault="00841BCD" w:rsidP="00A37002">
      <w:pPr>
        <w:pStyle w:val="RAN4H1"/>
      </w:pPr>
      <w:bookmarkStart w:id="3" w:name="_Toc116995841"/>
      <w:r w:rsidRPr="00381F95">
        <w:t>Intro</w:t>
      </w:r>
      <w:proofErr w:type="spellStart"/>
      <w:r w:rsidRPr="00381F95">
        <w:rPr>
          <w:rStyle w:val="RAN4H1Char"/>
          <w:lang w:val="en-US"/>
        </w:rPr>
        <w:t>ductio</w:t>
      </w:r>
      <w:proofErr w:type="spellEnd"/>
      <w:r w:rsidRPr="00381F95">
        <w:t>n</w:t>
      </w:r>
      <w:bookmarkEnd w:id="3"/>
    </w:p>
    <w:p w14:paraId="7A311FF4" w14:textId="77777777" w:rsidR="00D81C89" w:rsidRPr="008C39F7" w:rsidRDefault="00D81C89" w:rsidP="00D81C89">
      <w:r w:rsidRPr="00031914">
        <w:t xml:space="preserve">The NTN WI, as presented in [1], includes </w:t>
      </w:r>
      <w:r>
        <w:t>objectives for the NTN enhancements in Rel-18, including improvements on service continuity and mobility enhancements between TN and NTN.:</w:t>
      </w:r>
    </w:p>
    <w:p w14:paraId="49A3D75D" w14:textId="77777777" w:rsidR="00D81C89" w:rsidRDefault="00D81C89" w:rsidP="00D81C89"/>
    <w:tbl>
      <w:tblPr>
        <w:tblStyle w:val="TableGrid"/>
        <w:tblW w:w="0" w:type="auto"/>
        <w:jc w:val="center"/>
        <w:tblLook w:val="04A0" w:firstRow="1" w:lastRow="0" w:firstColumn="1" w:lastColumn="0" w:noHBand="0" w:noVBand="1"/>
      </w:tblPr>
      <w:tblGrid>
        <w:gridCol w:w="9000"/>
      </w:tblGrid>
      <w:tr w:rsidR="00D81C89" w:rsidRPr="008C39F7" w14:paraId="46E8597E" w14:textId="77777777">
        <w:trPr>
          <w:jc w:val="center"/>
        </w:trPr>
        <w:tc>
          <w:tcPr>
            <w:tcW w:w="9000" w:type="dxa"/>
          </w:tcPr>
          <w:p w14:paraId="2D89F137" w14:textId="77777777" w:rsidR="00D81C89" w:rsidRDefault="00D81C89">
            <w:pPr>
              <w:rPr>
                <w:bCs/>
              </w:rPr>
            </w:pPr>
            <w:r>
              <w:rPr>
                <w:bCs/>
              </w:rPr>
              <w:t>4.1.4</w:t>
            </w:r>
            <w:r>
              <w:rPr>
                <w:bCs/>
              </w:rPr>
              <w:tab/>
              <w:t>NTN-TN and NTN-NTN mobility and service continuity enhancements</w:t>
            </w:r>
          </w:p>
          <w:p w14:paraId="1FF78A13" w14:textId="77777777" w:rsidR="00D81C89" w:rsidRDefault="00D81C89">
            <w:pPr>
              <w:rPr>
                <w:bCs/>
              </w:rPr>
            </w:pPr>
          </w:p>
          <w:p w14:paraId="7678AC21" w14:textId="77777777" w:rsidR="00D81C89" w:rsidRDefault="00D81C89">
            <w:pPr>
              <w:rPr>
                <w:bCs/>
              </w:rPr>
            </w:pPr>
            <w:r>
              <w:rPr>
                <w:bCs/>
              </w:rPr>
              <w:t>This work considers existing methods from NR TN as well as outcome of Rel-17 NR NTN WI outcome as baseline for NTN-TN mobility.</w:t>
            </w:r>
          </w:p>
          <w:p w14:paraId="0E7054CB" w14:textId="77777777" w:rsidR="00D81C89" w:rsidRDefault="00D81C89">
            <w:pPr>
              <w:rPr>
                <w:bCs/>
              </w:rPr>
            </w:pPr>
          </w:p>
          <w:p w14:paraId="0671AB51" w14:textId="77777777" w:rsidR="00D81C89" w:rsidRPr="00D81C89" w:rsidRDefault="00D81C89" w:rsidP="00D81C89">
            <w:pPr>
              <w:numPr>
                <w:ilvl w:val="0"/>
                <w:numId w:val="27"/>
              </w:numPr>
              <w:spacing w:line="256" w:lineRule="auto"/>
              <w:rPr>
                <w:bCs/>
              </w:rPr>
            </w:pPr>
            <w:r w:rsidRPr="00D81C89">
              <w:rPr>
                <w:bCs/>
              </w:rPr>
              <w:t>Specify NTN-TN and NTN-NTN measurement/mobility and service continuity enhancements [RAN2,RAN3,RAN4]</w:t>
            </w:r>
          </w:p>
          <w:p w14:paraId="51C60569" w14:textId="77777777" w:rsidR="00D81C89" w:rsidRPr="00D81C89" w:rsidRDefault="00D81C89" w:rsidP="00D81C89">
            <w:pPr>
              <w:numPr>
                <w:ilvl w:val="1"/>
                <w:numId w:val="27"/>
              </w:numPr>
              <w:spacing w:line="256" w:lineRule="auto"/>
              <w:rPr>
                <w:bCs/>
              </w:rPr>
            </w:pPr>
            <w:r w:rsidRPr="00D81C89">
              <w:rPr>
                <w:bCs/>
              </w:rPr>
              <w:t>For NTN-NTN mobility, specify cell reselection enhancements for earth moving cell, the timing based and location-based cell reselection for quasi-earth fixed cell in Rel-17 can be considered as the starting point. [RAN2, RAN3, RAN4]</w:t>
            </w:r>
          </w:p>
          <w:p w14:paraId="34CA75D2" w14:textId="77777777" w:rsidR="00D81C89" w:rsidRPr="00D81C89" w:rsidRDefault="00D81C89" w:rsidP="00D81C89">
            <w:pPr>
              <w:numPr>
                <w:ilvl w:val="1"/>
                <w:numId w:val="27"/>
              </w:numPr>
              <w:spacing w:line="256" w:lineRule="auto"/>
              <w:rPr>
                <w:bCs/>
                <w:highlight w:val="green"/>
              </w:rPr>
            </w:pPr>
            <w:r w:rsidRPr="00D81C89">
              <w:rPr>
                <w:bCs/>
                <w:highlight w:val="green"/>
              </w:rPr>
              <w:t>Specify NTN-NTN handover enhancement for RRC_CONNECTED UEs in the quasi-earth-fixed cell and earth-moving cell to reduce the signalling overhead. [RAN2, RAN3]</w:t>
            </w:r>
          </w:p>
          <w:p w14:paraId="5616C99C" w14:textId="77777777" w:rsidR="00D81C89" w:rsidRPr="00D81C89" w:rsidRDefault="00D81C89" w:rsidP="00D81C89">
            <w:pPr>
              <w:numPr>
                <w:ilvl w:val="1"/>
                <w:numId w:val="27"/>
              </w:numPr>
              <w:spacing w:line="256" w:lineRule="auto"/>
              <w:rPr>
                <w:bCs/>
              </w:rPr>
            </w:pPr>
            <w:r w:rsidRPr="00D81C89">
              <w:rPr>
                <w:bCs/>
              </w:rPr>
              <w:t>Specify cell reselection enhancements for RRC_IDLE/INACTIVE UEs to reduce UE power consumption (NTN-TN mobility is prioritized). [RAN2, RAN3, RAN4]</w:t>
            </w:r>
          </w:p>
          <w:p w14:paraId="43415B16" w14:textId="77777777" w:rsidR="00D81C89" w:rsidRDefault="00D81C89" w:rsidP="00D81C89">
            <w:pPr>
              <w:numPr>
                <w:ilvl w:val="1"/>
                <w:numId w:val="27"/>
              </w:numPr>
              <w:spacing w:line="256" w:lineRule="auto"/>
              <w:rPr>
                <w:bCs/>
              </w:rPr>
            </w:pPr>
            <w:r>
              <w:rPr>
                <w:bCs/>
              </w:rPr>
              <w:t xml:space="preserve">Study and, if needed, specify enhancement to </w:t>
            </w:r>
            <w:proofErr w:type="spellStart"/>
            <w:r>
              <w:rPr>
                <w:bCs/>
              </w:rPr>
              <w:t>Xn</w:t>
            </w:r>
            <w:proofErr w:type="spellEnd"/>
            <w:r>
              <w:rPr>
                <w:bCs/>
              </w:rPr>
              <w:t xml:space="preserve">[/NG] signalling to support feeder link switch-over, CHO, e.g. exchange of necessary information between </w:t>
            </w:r>
            <w:proofErr w:type="spellStart"/>
            <w:r>
              <w:rPr>
                <w:bCs/>
              </w:rPr>
              <w:t>gNBs</w:t>
            </w:r>
            <w:proofErr w:type="spellEnd"/>
            <w:r>
              <w:rPr>
                <w:bCs/>
              </w:rPr>
              <w:t>. [RAN3]</w:t>
            </w:r>
          </w:p>
          <w:p w14:paraId="3D5026AC" w14:textId="77777777" w:rsidR="00D81C89" w:rsidRPr="008C39F7" w:rsidRDefault="00D81C89"/>
        </w:tc>
      </w:tr>
    </w:tbl>
    <w:p w14:paraId="5ABE1BC7" w14:textId="77777777" w:rsidR="00D81C89" w:rsidRPr="008C39F7" w:rsidRDefault="00D81C89" w:rsidP="00D81C89"/>
    <w:p w14:paraId="6189FC40" w14:textId="3B6C9A01" w:rsidR="00D81C89" w:rsidRDefault="00D81C89" w:rsidP="00D81C89">
      <w:r>
        <w:t xml:space="preserve">As a development of the objective highlighted in green on the box above, RAN2 has developed more efficient mobility mechanisms for NTN </w:t>
      </w:r>
      <w:proofErr w:type="gramStart"/>
      <w:r>
        <w:t>in order to</w:t>
      </w:r>
      <w:proofErr w:type="gramEnd"/>
      <w:r>
        <w:t xml:space="preserve"> minimize the signalling overhead such as: RACH-less HO and satellite switchover without PCI changing (“satellite switch with re-sync”). </w:t>
      </w:r>
      <w:proofErr w:type="gramStart"/>
      <w:r w:rsidR="00917899">
        <w:t>In order to</w:t>
      </w:r>
      <w:proofErr w:type="gramEnd"/>
      <w:r w:rsidR="00917899">
        <w:t xml:space="preserve"> guarantee a harmonized implementation of the specifications regarding the newly introduced features, RAN2 has sent an LS to RAN4 asking about the feasibility of the satellite switch with re-sync </w:t>
      </w:r>
      <w:r w:rsidR="00917899">
        <w:fldChar w:fldCharType="begin"/>
      </w:r>
      <w:r w:rsidR="00917899">
        <w:instrText xml:space="preserve"> REF _Ref158196476 \r \h </w:instrText>
      </w:r>
      <w:r w:rsidR="00917899">
        <w:fldChar w:fldCharType="separate"/>
      </w:r>
      <w:r w:rsidR="00917899">
        <w:t>[2]</w:t>
      </w:r>
      <w:r w:rsidR="00917899">
        <w:fldChar w:fldCharType="end"/>
      </w:r>
      <w:r w:rsidR="00917899">
        <w:t xml:space="preserve">. This paper is dedicated to </w:t>
      </w:r>
      <w:proofErr w:type="spellStart"/>
      <w:proofErr w:type="gramStart"/>
      <w:r w:rsidR="00917899">
        <w:t>analyze</w:t>
      </w:r>
      <w:proofErr w:type="spellEnd"/>
      <w:proofErr w:type="gramEnd"/>
      <w:r w:rsidR="00917899">
        <w:t xml:space="preserve"> the technical document sent by RAN2 to RAN4 and to provide answers to the LS inquiries. </w:t>
      </w:r>
    </w:p>
    <w:p w14:paraId="244621CB" w14:textId="43AF15A0" w:rsidR="001D270C" w:rsidRPr="001D270C" w:rsidRDefault="00D81C89" w:rsidP="00D81C89">
      <w:r w:rsidRPr="001D270C">
        <w:t xml:space="preserve">Besides, in previous meetings, RAN4 has initiated the discussion on the topic and some progress was made and captured in </w:t>
      </w:r>
      <w:r w:rsidR="001D270C" w:rsidRPr="001D270C">
        <w:fldChar w:fldCharType="begin"/>
      </w:r>
      <w:r w:rsidR="001D270C" w:rsidRPr="001D270C">
        <w:instrText xml:space="preserve"> REF _Ref158813489 \n \h </w:instrText>
      </w:r>
      <w:r w:rsidR="001D270C">
        <w:instrText xml:space="preserve"> \* MERGEFORMAT </w:instrText>
      </w:r>
      <w:r w:rsidR="001D270C" w:rsidRPr="001D270C">
        <w:fldChar w:fldCharType="separate"/>
      </w:r>
      <w:r w:rsidR="001D270C" w:rsidRPr="001D270C">
        <w:t>[5]</w:t>
      </w:r>
      <w:r w:rsidR="001D270C" w:rsidRPr="001D270C">
        <w:fldChar w:fldCharType="end"/>
      </w:r>
      <w:r w:rsidRPr="001D270C">
        <w:fldChar w:fldCharType="begin"/>
      </w:r>
      <w:r w:rsidRPr="001D270C">
        <w:instrText xml:space="preserve"> REF _Ref146534405 \r \h </w:instrText>
      </w:r>
      <w:r w:rsidR="00917899" w:rsidRPr="001D270C">
        <w:instrText xml:space="preserve"> \* MERGEFORMAT </w:instrText>
      </w:r>
      <w:r w:rsidR="00DE3594">
        <w:fldChar w:fldCharType="separate"/>
      </w:r>
      <w:r w:rsidRPr="001D270C">
        <w:fldChar w:fldCharType="end"/>
      </w:r>
      <w:r w:rsidRPr="001D270C">
        <w:t xml:space="preserve">. This contribution </w:t>
      </w:r>
      <w:r w:rsidR="001D270C" w:rsidRPr="001D270C">
        <w:t>also aims to cover some of the open issues relative to the following topics:</w:t>
      </w:r>
    </w:p>
    <w:p w14:paraId="0C7222DB" w14:textId="77777777" w:rsidR="00D81C89" w:rsidRPr="001D270C" w:rsidRDefault="00D81C89" w:rsidP="00D81C89">
      <w:pPr>
        <w:pStyle w:val="ListParagraph"/>
        <w:numPr>
          <w:ilvl w:val="0"/>
          <w:numId w:val="28"/>
        </w:numPr>
      </w:pPr>
      <w:r w:rsidRPr="001D270C">
        <w:t>Idle Mode Mobility Enhancements</w:t>
      </w:r>
    </w:p>
    <w:p w14:paraId="11AFE4E2" w14:textId="77777777" w:rsidR="00D81C89" w:rsidRPr="001D270C" w:rsidRDefault="00D81C89" w:rsidP="00D81C89">
      <w:pPr>
        <w:pStyle w:val="ListParagraph"/>
        <w:numPr>
          <w:ilvl w:val="1"/>
          <w:numId w:val="28"/>
        </w:numPr>
      </w:pPr>
      <w:r w:rsidRPr="001D270C">
        <w:t>NTN to TN Cell reselection</w:t>
      </w:r>
    </w:p>
    <w:p w14:paraId="4C5160F1" w14:textId="44E18B80" w:rsidR="00DC6C10" w:rsidRPr="001D270C" w:rsidRDefault="00DC6C10" w:rsidP="00D81C89">
      <w:pPr>
        <w:pStyle w:val="ListParagraph"/>
        <w:numPr>
          <w:ilvl w:val="1"/>
          <w:numId w:val="28"/>
        </w:numPr>
      </w:pPr>
      <w:r w:rsidRPr="001D270C">
        <w:t>TN to NTN Cell Reselection</w:t>
      </w:r>
    </w:p>
    <w:p w14:paraId="3EBF936A" w14:textId="77777777" w:rsidR="00D81C89" w:rsidRPr="001D270C" w:rsidRDefault="00D81C89" w:rsidP="00D81C89">
      <w:pPr>
        <w:pStyle w:val="ListParagraph"/>
        <w:numPr>
          <w:ilvl w:val="0"/>
          <w:numId w:val="28"/>
        </w:numPr>
      </w:pPr>
      <w:r w:rsidRPr="001D270C">
        <w:t xml:space="preserve">Connected mode mobility </w:t>
      </w:r>
      <w:proofErr w:type="gramStart"/>
      <w:r w:rsidRPr="001D270C">
        <w:t>enhancements</w:t>
      </w:r>
      <w:proofErr w:type="gramEnd"/>
    </w:p>
    <w:p w14:paraId="56870E97" w14:textId="77777777" w:rsidR="00D81C89" w:rsidRPr="001D270C" w:rsidRDefault="00D81C89" w:rsidP="00D81C89">
      <w:pPr>
        <w:pStyle w:val="ListParagraph"/>
        <w:numPr>
          <w:ilvl w:val="1"/>
          <w:numId w:val="28"/>
        </w:numPr>
      </w:pPr>
      <w:r w:rsidRPr="001D270C">
        <w:t>RACH-less HO</w:t>
      </w:r>
    </w:p>
    <w:p w14:paraId="2037EBF2" w14:textId="77777777" w:rsidR="00381F95" w:rsidRPr="00381F95" w:rsidRDefault="00381F95" w:rsidP="005C23A4"/>
    <w:p w14:paraId="1C63581E" w14:textId="77777777" w:rsidR="0060543D" w:rsidRPr="00381F95" w:rsidRDefault="001B1EA8" w:rsidP="005C23A4">
      <w:r w:rsidRPr="00381F95">
        <w:t>Agreements:</w:t>
      </w:r>
    </w:p>
    <w:tbl>
      <w:tblPr>
        <w:tblStyle w:val="TableGrid"/>
        <w:tblW w:w="0" w:type="auto"/>
        <w:tblLook w:val="04A0" w:firstRow="1" w:lastRow="0" w:firstColumn="1" w:lastColumn="0" w:noHBand="0" w:noVBand="1"/>
      </w:tblPr>
      <w:tblGrid>
        <w:gridCol w:w="9617"/>
      </w:tblGrid>
      <w:tr w:rsidR="001B1EA8" w:rsidRPr="00381F95" w14:paraId="2FE34038" w14:textId="77777777" w:rsidTr="001B1EA8">
        <w:tc>
          <w:tcPr>
            <w:tcW w:w="9617" w:type="dxa"/>
          </w:tcPr>
          <w:p w14:paraId="2A382907" w14:textId="77777777" w:rsidR="001B1EA8" w:rsidRPr="00381F95" w:rsidRDefault="001B1EA8" w:rsidP="005C23A4"/>
          <w:p w14:paraId="478AB8E0" w14:textId="77777777" w:rsidR="0060301D" w:rsidRPr="00381F95" w:rsidRDefault="0060301D" w:rsidP="005C23A4"/>
        </w:tc>
      </w:tr>
    </w:tbl>
    <w:p w14:paraId="3C236BD3" w14:textId="77777777" w:rsidR="00A520D9" w:rsidRPr="00381F95" w:rsidRDefault="00A520D9" w:rsidP="005C23A4"/>
    <w:p w14:paraId="35EC626F" w14:textId="77777777" w:rsidR="0060543D" w:rsidRPr="00381F95" w:rsidRDefault="0060543D" w:rsidP="005C23A4"/>
    <w:p w14:paraId="4888FB90" w14:textId="77777777" w:rsidR="003B659E" w:rsidRPr="00381F95" w:rsidRDefault="003B659E" w:rsidP="00AE56B1">
      <w:pPr>
        <w:pStyle w:val="RAN4H1"/>
      </w:pPr>
      <w:bookmarkStart w:id="4" w:name="_Toc116995842"/>
      <w:r w:rsidRPr="00381F95">
        <w:t>Discussion</w:t>
      </w:r>
      <w:bookmarkEnd w:id="4"/>
    </w:p>
    <w:p w14:paraId="4A27A8D7" w14:textId="110AB189" w:rsidR="00CB22B2" w:rsidRPr="0099133A" w:rsidRDefault="00917899" w:rsidP="00496606">
      <w:pPr>
        <w:pStyle w:val="RAN4H2"/>
      </w:pPr>
      <w:r w:rsidRPr="0099133A">
        <w:t>Satellite switching with re-</w:t>
      </w:r>
      <w:proofErr w:type="gramStart"/>
      <w:r w:rsidRPr="0099133A">
        <w:t>sync</w:t>
      </w:r>
      <w:proofErr w:type="gramEnd"/>
    </w:p>
    <w:p w14:paraId="43A3F13B" w14:textId="0D2C4B0D" w:rsidR="008579F2" w:rsidRDefault="008579F2" w:rsidP="005C23A4">
      <w:r>
        <w:t xml:space="preserve">In their LS to RAN4 </w:t>
      </w:r>
      <w:r>
        <w:fldChar w:fldCharType="begin"/>
      </w:r>
      <w:r>
        <w:instrText xml:space="preserve"> REF _Ref158196476 \r \h </w:instrText>
      </w:r>
      <w:r>
        <w:fldChar w:fldCharType="separate"/>
      </w:r>
      <w:r>
        <w:t>[2]</w:t>
      </w:r>
      <w:r>
        <w:fldChar w:fldCharType="end"/>
      </w:r>
      <w:r>
        <w:t>, RAN2 has indicated that they have specified a new feature (“satellite switch with re-sync”), which might be configured in two different types</w:t>
      </w:r>
      <w:r w:rsidR="002A2E2A">
        <w:t xml:space="preserve"> of satellite switching</w:t>
      </w:r>
      <w:r>
        <w:t xml:space="preserve">: soft and hard. According to the description of the feature functionality, they are </w:t>
      </w:r>
      <w:proofErr w:type="gramStart"/>
      <w:r>
        <w:t>exactly the same</w:t>
      </w:r>
      <w:proofErr w:type="gramEnd"/>
      <w:r>
        <w:t xml:space="preserve"> except for the differences highlighted in the box below:</w:t>
      </w:r>
    </w:p>
    <w:tbl>
      <w:tblPr>
        <w:tblStyle w:val="Style1"/>
        <w:tblW w:w="0" w:type="auto"/>
        <w:tblLook w:val="04A0" w:firstRow="1" w:lastRow="0" w:firstColumn="1" w:lastColumn="0" w:noHBand="0" w:noVBand="1"/>
      </w:tblPr>
      <w:tblGrid>
        <w:gridCol w:w="3000"/>
        <w:gridCol w:w="3273"/>
        <w:gridCol w:w="3344"/>
      </w:tblGrid>
      <w:tr w:rsidR="00DE6F3C" w14:paraId="5CFB5B1C" w14:textId="77777777" w:rsidTr="00DE6F3C">
        <w:trPr>
          <w:cnfStyle w:val="100000000000" w:firstRow="1" w:lastRow="0" w:firstColumn="0" w:lastColumn="0" w:oddVBand="0" w:evenVBand="0" w:oddHBand="0" w:evenHBand="0" w:firstRowFirstColumn="0" w:firstRowLastColumn="0" w:lastRowFirstColumn="0" w:lastRowLastColumn="0"/>
        </w:trPr>
        <w:tc>
          <w:tcPr>
            <w:tcW w:w="3000" w:type="dxa"/>
          </w:tcPr>
          <w:p w14:paraId="4B1DFB91" w14:textId="77777777" w:rsidR="00DE6F3C" w:rsidRDefault="00DE6F3C" w:rsidP="005C23A4"/>
        </w:tc>
        <w:tc>
          <w:tcPr>
            <w:tcW w:w="3273" w:type="dxa"/>
          </w:tcPr>
          <w:p w14:paraId="211C4099" w14:textId="54CCC6C3" w:rsidR="00DE6F3C" w:rsidRDefault="00370B6F" w:rsidP="005C23A4">
            <w:r>
              <w:t>Hard</w:t>
            </w:r>
            <w:r w:rsidR="00DE6F3C">
              <w:t xml:space="preserve"> satellite switch with re-sync </w:t>
            </w:r>
          </w:p>
        </w:tc>
        <w:tc>
          <w:tcPr>
            <w:tcW w:w="3344" w:type="dxa"/>
          </w:tcPr>
          <w:p w14:paraId="53E6EC12" w14:textId="4EF1FA16" w:rsidR="00DE6F3C" w:rsidRDefault="00DE6F3C" w:rsidP="005C23A4">
            <w:r>
              <w:t xml:space="preserve"> </w:t>
            </w:r>
            <w:r w:rsidR="00370B6F">
              <w:t xml:space="preserve">Soft </w:t>
            </w:r>
            <w:r>
              <w:t>satellite switch with re-sync</w:t>
            </w:r>
          </w:p>
        </w:tc>
      </w:tr>
      <w:tr w:rsidR="00DE6F3C" w14:paraId="641AC02F" w14:textId="77777777" w:rsidTr="00DE6F3C">
        <w:tc>
          <w:tcPr>
            <w:tcW w:w="3000" w:type="dxa"/>
          </w:tcPr>
          <w:p w14:paraId="31932447" w14:textId="5EDCCCB8" w:rsidR="00DE6F3C" w:rsidRDefault="00DE6F3C" w:rsidP="005C23A4">
            <w:r>
              <w:t>Procedure start time</w:t>
            </w:r>
          </w:p>
        </w:tc>
        <w:tc>
          <w:tcPr>
            <w:tcW w:w="3273" w:type="dxa"/>
          </w:tcPr>
          <w:p w14:paraId="31E32294" w14:textId="666AFDB0" w:rsidR="00DE6F3C" w:rsidRDefault="00DE6F3C" w:rsidP="005C23A4">
            <w:r>
              <w:t xml:space="preserve"> At t-service</w:t>
            </w:r>
          </w:p>
        </w:tc>
        <w:tc>
          <w:tcPr>
            <w:tcW w:w="3344" w:type="dxa"/>
          </w:tcPr>
          <w:p w14:paraId="71B266B2" w14:textId="61A7B51D" w:rsidR="00DE6F3C" w:rsidRDefault="00DE6F3C" w:rsidP="005C23A4">
            <w:r>
              <w:t>Between t-start and t-service (UE decision)</w:t>
            </w:r>
          </w:p>
        </w:tc>
      </w:tr>
      <w:tr w:rsidR="00DE6F3C" w14:paraId="60616443" w14:textId="77777777" w:rsidTr="00DE6F3C">
        <w:tc>
          <w:tcPr>
            <w:tcW w:w="3000" w:type="dxa"/>
          </w:tcPr>
          <w:p w14:paraId="3565776A" w14:textId="102B273F" w:rsidR="00DE6F3C" w:rsidRDefault="00DE6F3C" w:rsidP="005C23A4">
            <w:r>
              <w:t>SSB information of target cell</w:t>
            </w:r>
          </w:p>
        </w:tc>
        <w:tc>
          <w:tcPr>
            <w:tcW w:w="3273" w:type="dxa"/>
          </w:tcPr>
          <w:p w14:paraId="714BBF49" w14:textId="0133A59F" w:rsidR="00DE6F3C" w:rsidRDefault="00DE6F3C" w:rsidP="005C23A4">
            <w:r>
              <w:t>Optional</w:t>
            </w:r>
          </w:p>
        </w:tc>
        <w:tc>
          <w:tcPr>
            <w:tcW w:w="3344" w:type="dxa"/>
          </w:tcPr>
          <w:p w14:paraId="01F64929" w14:textId="5BFE88B5" w:rsidR="00DE6F3C" w:rsidRDefault="00DE6F3C" w:rsidP="005C23A4">
            <w:r>
              <w:t>Mandatory</w:t>
            </w:r>
          </w:p>
        </w:tc>
      </w:tr>
    </w:tbl>
    <w:p w14:paraId="5CEBDE07" w14:textId="1E0F5B3A" w:rsidR="008579F2" w:rsidRDefault="008579F2" w:rsidP="005C23A4"/>
    <w:p w14:paraId="5DF59014" w14:textId="73D7B428" w:rsidR="00DE6F3C" w:rsidRDefault="00DE6F3C" w:rsidP="005C23A4">
      <w:r>
        <w:t xml:space="preserve">RAN2 goes on to ask RAN4 whether based on such principles and on the procedural description presented in </w:t>
      </w:r>
      <w:r>
        <w:fldChar w:fldCharType="begin"/>
      </w:r>
      <w:r>
        <w:instrText xml:space="preserve"> REF _Ref158386928 \r \h </w:instrText>
      </w:r>
      <w:r>
        <w:fldChar w:fldCharType="separate"/>
      </w:r>
      <w:r>
        <w:t>[3]</w:t>
      </w:r>
      <w:r>
        <w:fldChar w:fldCharType="end"/>
      </w:r>
      <w:r>
        <w:t xml:space="preserve">, whether there are concerns to the feasibility of UE performing downlink synchronization to the target satellite while the communication with the source satellite is going on. </w:t>
      </w:r>
    </w:p>
    <w:p w14:paraId="401279ED" w14:textId="3AC06D0D" w:rsidR="00BC6CB0" w:rsidRDefault="00BC6CB0" w:rsidP="005C23A4">
      <w:r>
        <w:t xml:space="preserve">The first feasibility concern for the acquisition of synchronization signals between source and target satellite depends on whether the SSB signals radiated by source and target satellites are not overlapping at UE reception. According to the description provided in </w:t>
      </w:r>
      <w:r>
        <w:fldChar w:fldCharType="begin"/>
      </w:r>
      <w:r>
        <w:instrText xml:space="preserve"> REF _Ref158196476 \r \h </w:instrText>
      </w:r>
      <w:r>
        <w:fldChar w:fldCharType="separate"/>
      </w:r>
      <w:r>
        <w:t>[2]</w:t>
      </w:r>
      <w:r>
        <w:fldChar w:fldCharType="end"/>
      </w:r>
      <w:r>
        <w:fldChar w:fldCharType="begin"/>
      </w:r>
      <w:r>
        <w:instrText xml:space="preserve"> REF _Ref158386928 \r \h </w:instrText>
      </w:r>
      <w:r>
        <w:fldChar w:fldCharType="separate"/>
      </w:r>
      <w:r>
        <w:t>[3]</w:t>
      </w:r>
      <w:r>
        <w:fldChar w:fldCharType="end"/>
      </w:r>
      <w:r>
        <w:t>, the network will notify the UE about a transmit timing offset between source and target satellites:</w:t>
      </w:r>
    </w:p>
    <w:tbl>
      <w:tblPr>
        <w:tblStyle w:val="TableGrid"/>
        <w:tblW w:w="0" w:type="auto"/>
        <w:tblLook w:val="04A0" w:firstRow="1" w:lastRow="0" w:firstColumn="1" w:lastColumn="0" w:noHBand="0" w:noVBand="1"/>
      </w:tblPr>
      <w:tblGrid>
        <w:gridCol w:w="9617"/>
      </w:tblGrid>
      <w:tr w:rsidR="00BC6CB0" w14:paraId="1C51A6E5" w14:textId="77777777" w:rsidTr="00BC6CB0">
        <w:tc>
          <w:tcPr>
            <w:tcW w:w="9617" w:type="dxa"/>
          </w:tcPr>
          <w:p w14:paraId="037C5E36" w14:textId="749EA5B5" w:rsidR="00BC6CB0" w:rsidRPr="00E3549E" w:rsidRDefault="00BC6CB0" w:rsidP="00BC6CB0">
            <w:p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Agreements</w:t>
            </w:r>
            <w:r>
              <w:rPr>
                <w:rFonts w:ascii="Arial" w:eastAsia="SimSun" w:hAnsi="Arial" w:cs="Arial"/>
                <w:color w:val="000000"/>
                <w:lang w:eastAsia="ko-KR"/>
              </w:rPr>
              <w:t xml:space="preserve"> according to </w:t>
            </w:r>
            <w:r>
              <w:rPr>
                <w:rFonts w:ascii="Arial" w:eastAsia="SimSun" w:hAnsi="Arial" w:cs="Arial"/>
                <w:color w:val="000000"/>
                <w:lang w:eastAsia="ko-KR"/>
              </w:rPr>
              <w:fldChar w:fldCharType="begin"/>
            </w:r>
            <w:r>
              <w:rPr>
                <w:rFonts w:ascii="Arial" w:eastAsia="SimSun" w:hAnsi="Arial" w:cs="Arial"/>
                <w:color w:val="000000"/>
                <w:lang w:eastAsia="ko-KR"/>
              </w:rPr>
              <w:instrText xml:space="preserve"> REF _Ref158196476 \r \h </w:instrText>
            </w:r>
            <w:r>
              <w:rPr>
                <w:rFonts w:ascii="Arial" w:eastAsia="SimSun" w:hAnsi="Arial" w:cs="Arial"/>
                <w:color w:val="000000"/>
                <w:lang w:eastAsia="ko-KR"/>
              </w:rPr>
            </w:r>
            <w:r>
              <w:rPr>
                <w:rFonts w:ascii="Arial" w:eastAsia="SimSun" w:hAnsi="Arial" w:cs="Arial"/>
                <w:color w:val="000000"/>
                <w:lang w:eastAsia="ko-KR"/>
              </w:rPr>
              <w:fldChar w:fldCharType="separate"/>
            </w:r>
            <w:r>
              <w:rPr>
                <w:rFonts w:ascii="Arial" w:eastAsia="SimSun" w:hAnsi="Arial" w:cs="Arial"/>
                <w:color w:val="000000"/>
                <w:lang w:eastAsia="ko-KR"/>
              </w:rPr>
              <w:t>[2]</w:t>
            </w:r>
            <w:r>
              <w:rPr>
                <w:rFonts w:ascii="Arial" w:eastAsia="SimSun" w:hAnsi="Arial" w:cs="Arial"/>
                <w:color w:val="000000"/>
                <w:lang w:eastAsia="ko-KR"/>
              </w:rPr>
              <w:fldChar w:fldCharType="end"/>
            </w:r>
            <w:r w:rsidRPr="00E3549E">
              <w:rPr>
                <w:rFonts w:ascii="Arial" w:eastAsia="SimSun" w:hAnsi="Arial" w:cs="Arial"/>
                <w:color w:val="000000"/>
                <w:lang w:eastAsia="ko-KR"/>
              </w:rPr>
              <w:t>:</w:t>
            </w:r>
          </w:p>
          <w:p w14:paraId="69A70ADB" w14:textId="4DD935FA" w:rsidR="00BC6CB0" w:rsidRDefault="00BC6CB0" w:rsidP="00BC6CB0">
            <w:pPr>
              <w:numPr>
                <w:ilvl w:val="0"/>
                <w:numId w:val="30"/>
              </w:numPr>
              <w:overflowPunct w:val="0"/>
              <w:autoSpaceDE w:val="0"/>
              <w:autoSpaceDN w:val="0"/>
              <w:adjustRightInd w:val="0"/>
              <w:spacing w:before="120" w:after="120" w:line="276" w:lineRule="auto"/>
              <w:jc w:val="both"/>
              <w:textAlignment w:val="baseline"/>
              <w:rPr>
                <w:rFonts w:ascii="Arial" w:eastAsia="SimSun" w:hAnsi="Arial" w:cs="Arial"/>
                <w:color w:val="000000"/>
                <w:highlight w:val="yellow"/>
                <w:lang w:eastAsia="ko-KR"/>
              </w:rPr>
            </w:pPr>
            <w:r w:rsidRPr="00E3549E">
              <w:rPr>
                <w:rFonts w:ascii="Arial" w:eastAsia="SimSun" w:hAnsi="Arial" w:cs="Arial"/>
                <w:color w:val="000000"/>
                <w:highlight w:val="yellow"/>
                <w:lang w:eastAsia="ko-KR"/>
              </w:rPr>
              <w:t>At least for soft switch, there needs to be an “SSB time offset” between the source and the target satellite. “SSB time offset” is specified as a new IE, with the same format as “offset” in SSB-MTC4</w:t>
            </w:r>
          </w:p>
          <w:p w14:paraId="3FED32B2" w14:textId="77777777" w:rsidR="00BC6CB0" w:rsidRPr="00E3549E" w:rsidRDefault="00BC6CB0" w:rsidP="00BC6CB0">
            <w:pPr>
              <w:numPr>
                <w:ilvl w:val="0"/>
                <w:numId w:val="30"/>
              </w:numPr>
              <w:overflowPunct w:val="0"/>
              <w:autoSpaceDE w:val="0"/>
              <w:autoSpaceDN w:val="0"/>
              <w:adjustRightInd w:val="0"/>
              <w:spacing w:before="120" w:after="120" w:line="276" w:lineRule="auto"/>
              <w:jc w:val="both"/>
              <w:textAlignment w:val="baseline"/>
              <w:rPr>
                <w:rFonts w:ascii="Arial" w:eastAsia="SimSun" w:hAnsi="Arial" w:cs="Arial"/>
                <w:color w:val="000000"/>
                <w:highlight w:val="yellow"/>
                <w:lang w:eastAsia="ko-KR"/>
              </w:rPr>
            </w:pPr>
            <w:r w:rsidRPr="00E3549E">
              <w:rPr>
                <w:rFonts w:ascii="Arial" w:eastAsia="SimSun" w:hAnsi="Arial" w:cs="Arial"/>
                <w:color w:val="000000"/>
                <w:highlight w:val="yellow"/>
                <w:lang w:eastAsia="ko-KR"/>
              </w:rPr>
              <w:t xml:space="preserve">Target satellite SSB tracking is handled autonomously by the UE based on the provided SSB time </w:t>
            </w:r>
            <w:proofErr w:type="gramStart"/>
            <w:r w:rsidRPr="00E3549E">
              <w:rPr>
                <w:rFonts w:ascii="Arial" w:eastAsia="SimSun" w:hAnsi="Arial" w:cs="Arial"/>
                <w:color w:val="000000"/>
                <w:highlight w:val="yellow"/>
                <w:lang w:eastAsia="ko-KR"/>
              </w:rPr>
              <w:t>offset</w:t>
            </w:r>
            <w:proofErr w:type="gramEnd"/>
            <w:r w:rsidRPr="00E3549E">
              <w:rPr>
                <w:rFonts w:ascii="Arial" w:eastAsia="SimSun" w:hAnsi="Arial" w:cs="Arial"/>
                <w:color w:val="000000"/>
                <w:highlight w:val="yellow"/>
                <w:lang w:eastAsia="ko-KR"/>
              </w:rPr>
              <w:t xml:space="preserve"> </w:t>
            </w:r>
          </w:p>
          <w:p w14:paraId="09BE9ED3" w14:textId="77777777" w:rsidR="00BC6CB0" w:rsidRPr="00697B29" w:rsidRDefault="00BC6CB0" w:rsidP="00BC6CB0">
            <w:pPr>
              <w:numPr>
                <w:ilvl w:val="0"/>
                <w:numId w:val="30"/>
              </w:numPr>
              <w:overflowPunct w:val="0"/>
              <w:autoSpaceDE w:val="0"/>
              <w:autoSpaceDN w:val="0"/>
              <w:adjustRightInd w:val="0"/>
              <w:spacing w:before="120" w:after="120" w:line="276" w:lineRule="auto"/>
              <w:jc w:val="both"/>
              <w:textAlignment w:val="baseline"/>
              <w:rPr>
                <w:rFonts w:ascii="Arial" w:eastAsia="SimSun" w:hAnsi="Arial" w:cs="Arial"/>
                <w:color w:val="000000"/>
                <w:lang w:eastAsia="ko-KR"/>
              </w:rPr>
            </w:pPr>
            <w:r w:rsidRPr="00697B29">
              <w:rPr>
                <w:rFonts w:ascii="Arial" w:eastAsia="SimSun" w:hAnsi="Arial" w:cs="Arial"/>
                <w:color w:val="000000"/>
                <w:lang w:eastAsia="ko-KR"/>
              </w:rPr>
              <w:t xml:space="preserve">The “SSB time offset” between the source and the target satellite should be provided in </w:t>
            </w:r>
            <w:proofErr w:type="gramStart"/>
            <w:r w:rsidRPr="00697B29">
              <w:rPr>
                <w:rFonts w:ascii="Arial" w:eastAsia="SimSun" w:hAnsi="Arial" w:cs="Arial"/>
                <w:color w:val="000000"/>
                <w:lang w:eastAsia="ko-KR"/>
              </w:rPr>
              <w:t>SIB19</w:t>
            </w:r>
            <w:proofErr w:type="gramEnd"/>
          </w:p>
          <w:p w14:paraId="70DFB50E" w14:textId="77777777" w:rsidR="00BC6CB0" w:rsidRPr="00E3549E" w:rsidRDefault="00BC6CB0" w:rsidP="00BC6CB0">
            <w:pPr>
              <w:numPr>
                <w:ilvl w:val="0"/>
                <w:numId w:val="30"/>
              </w:numPr>
              <w:overflowPunct w:val="0"/>
              <w:autoSpaceDE w:val="0"/>
              <w:autoSpaceDN w:val="0"/>
              <w:adjustRightInd w:val="0"/>
              <w:spacing w:before="120" w:after="120" w:line="276" w:lineRule="auto"/>
              <w:jc w:val="both"/>
              <w:textAlignment w:val="baseline"/>
              <w:rPr>
                <w:rFonts w:ascii="Arial" w:eastAsia="SimSun" w:hAnsi="Arial" w:cs="Arial"/>
                <w:color w:val="000000"/>
                <w:highlight w:val="yellow"/>
                <w:lang w:eastAsia="ko-KR"/>
              </w:rPr>
            </w:pPr>
            <w:r w:rsidRPr="00E3549E">
              <w:rPr>
                <w:rFonts w:ascii="Arial" w:eastAsia="SimSun" w:hAnsi="Arial" w:cs="Arial"/>
                <w:color w:val="000000"/>
                <w:highlight w:val="yellow"/>
                <w:lang w:eastAsia="ko-KR"/>
              </w:rPr>
              <w:t>For soft satellite switch, as a baseline, it is sufficient to provide the “SSB time offset” of the target satellite in SIB19. (Can come back in the next meeting to check whether a different SSB index for the target satellite can optionally be provided)</w:t>
            </w:r>
          </w:p>
          <w:p w14:paraId="1C3F4374" w14:textId="77777777" w:rsidR="00BC6CB0" w:rsidRPr="00E3549E" w:rsidRDefault="00BC6CB0" w:rsidP="00BC6CB0">
            <w:pPr>
              <w:overflowPunct w:val="0"/>
              <w:autoSpaceDE w:val="0"/>
              <w:autoSpaceDN w:val="0"/>
              <w:adjustRightInd w:val="0"/>
              <w:spacing w:before="120" w:after="120" w:line="276" w:lineRule="auto"/>
              <w:jc w:val="both"/>
              <w:textAlignment w:val="baseline"/>
              <w:rPr>
                <w:rFonts w:ascii="Arial" w:eastAsia="SimSun" w:hAnsi="Arial" w:cs="Arial"/>
                <w:color w:val="000000"/>
                <w:highlight w:val="yellow"/>
                <w:lang w:eastAsia="ko-KR"/>
              </w:rPr>
            </w:pPr>
          </w:p>
          <w:p w14:paraId="2B5FFBF5" w14:textId="485869CC" w:rsidR="00BC6CB0" w:rsidRDefault="00BC6CB0" w:rsidP="005C23A4"/>
        </w:tc>
      </w:tr>
    </w:tbl>
    <w:p w14:paraId="5BD3E919" w14:textId="77777777" w:rsidR="00BC6CB0" w:rsidRDefault="00BC6CB0" w:rsidP="005C23A4"/>
    <w:p w14:paraId="22D55F77" w14:textId="35B9CD09" w:rsidR="0043217D" w:rsidRDefault="0043217D" w:rsidP="005C23A4">
      <w:r>
        <w:t>The following analysis is provided assuming the “offset” is defined similarly to the “offset” used in SMTC4, i.e., it is a transmission time offset at the gNB:</w:t>
      </w:r>
    </w:p>
    <w:tbl>
      <w:tblPr>
        <w:tblStyle w:val="TableGrid"/>
        <w:tblW w:w="0" w:type="auto"/>
        <w:tblLook w:val="04A0" w:firstRow="1" w:lastRow="0" w:firstColumn="1" w:lastColumn="0" w:noHBand="0" w:noVBand="1"/>
      </w:tblPr>
      <w:tblGrid>
        <w:gridCol w:w="9617"/>
      </w:tblGrid>
      <w:tr w:rsidR="0043217D" w14:paraId="12102ED9" w14:textId="77777777" w:rsidTr="0043217D">
        <w:tc>
          <w:tcPr>
            <w:tcW w:w="9617" w:type="dxa"/>
          </w:tcPr>
          <w:p w14:paraId="64DD74C2" w14:textId="0F6DF595" w:rsidR="0043217D" w:rsidRPr="0043217D" w:rsidRDefault="0043217D" w:rsidP="0043217D">
            <w:pPr>
              <w:pStyle w:val="TAL"/>
              <w:rPr>
                <w:b/>
                <w:iCs/>
                <w:u w:val="single"/>
                <w:lang w:eastAsia="en-GB"/>
              </w:rPr>
            </w:pPr>
            <w:r w:rsidRPr="0043217D">
              <w:rPr>
                <w:b/>
                <w:iCs/>
                <w:u w:val="single"/>
                <w:lang w:eastAsia="en-GB"/>
              </w:rPr>
              <w:t>From TS 38.331:</w:t>
            </w:r>
          </w:p>
          <w:p w14:paraId="3FB0B8E5" w14:textId="77777777" w:rsidR="0043217D" w:rsidRPr="0043217D" w:rsidRDefault="0043217D" w:rsidP="0043217D">
            <w:pPr>
              <w:pStyle w:val="TAL"/>
              <w:rPr>
                <w:b/>
                <w:iCs/>
                <w:lang w:eastAsia="en-GB"/>
              </w:rPr>
            </w:pPr>
          </w:p>
          <w:p w14:paraId="1AAB08BB" w14:textId="40AA6B26" w:rsidR="0043217D" w:rsidRDefault="0043217D" w:rsidP="0043217D">
            <w:pPr>
              <w:pStyle w:val="TAL"/>
              <w:rPr>
                <w:b/>
                <w:i/>
                <w:lang w:eastAsia="en-GB"/>
              </w:rPr>
            </w:pPr>
            <w:r>
              <w:rPr>
                <w:b/>
                <w:i/>
                <w:lang w:eastAsia="en-GB"/>
              </w:rPr>
              <w:t>smtc4list</w:t>
            </w:r>
          </w:p>
          <w:p w14:paraId="588AE567" w14:textId="2E7AA5E8" w:rsidR="0043217D" w:rsidRDefault="0043217D" w:rsidP="0043217D">
            <w:r>
              <w:rPr>
                <w:bCs/>
                <w:iCs/>
                <w:lang w:eastAsia="en-GB"/>
              </w:rPr>
              <w:t xml:space="preserve">Measurement timing configuration list for NTN deployments, see clause 5.5.2.10. </w:t>
            </w:r>
            <w:r w:rsidRPr="0043217D">
              <w:rPr>
                <w:bCs/>
                <w:iCs/>
                <w:highlight w:val="cyan"/>
                <w:lang w:eastAsia="en-GB"/>
              </w:rPr>
              <w:t xml:space="preserve">The offset of each SSB-MTC4 in </w:t>
            </w:r>
            <w:r w:rsidRPr="0043217D">
              <w:rPr>
                <w:bCs/>
                <w:i/>
                <w:highlight w:val="cyan"/>
                <w:lang w:eastAsia="en-GB"/>
              </w:rPr>
              <w:t>smtc4list</w:t>
            </w:r>
            <w:r w:rsidRPr="0043217D">
              <w:rPr>
                <w:bCs/>
                <w:iCs/>
                <w:highlight w:val="cyan"/>
                <w:lang w:eastAsia="en-GB"/>
              </w:rPr>
              <w:t xml:space="preserve"> </w:t>
            </w:r>
            <w:proofErr w:type="gramStart"/>
            <w:r w:rsidRPr="0043217D">
              <w:rPr>
                <w:bCs/>
                <w:iCs/>
                <w:highlight w:val="cyan"/>
                <w:lang w:eastAsia="en-GB"/>
              </w:rPr>
              <w:t>is based on the assumption</w:t>
            </w:r>
            <w:proofErr w:type="gramEnd"/>
            <w:r w:rsidRPr="0043217D">
              <w:rPr>
                <w:bCs/>
                <w:iCs/>
                <w:highlight w:val="cyan"/>
                <w:lang w:eastAsia="en-GB"/>
              </w:rPr>
              <w:t xml:space="preserve"> that the gNB-UE propagation delay difference between the serving cell and neighbour cells equals to 0 ms, and UE can adjust the actual </w:t>
            </w:r>
            <w:r w:rsidRPr="0043217D">
              <w:rPr>
                <w:bCs/>
                <w:i/>
                <w:highlight w:val="cyan"/>
                <w:lang w:eastAsia="en-GB"/>
              </w:rPr>
              <w:t>offset</w:t>
            </w:r>
            <w:r w:rsidRPr="0043217D">
              <w:rPr>
                <w:bCs/>
                <w:iCs/>
                <w:highlight w:val="cyan"/>
                <w:lang w:eastAsia="en-GB"/>
              </w:rPr>
              <w:t xml:space="preserve"> based on the actual propagation delay difference.</w:t>
            </w:r>
            <w:r>
              <w:rPr>
                <w:bCs/>
                <w:iCs/>
                <w:lang w:eastAsia="en-GB"/>
              </w:rPr>
              <w:t xml:space="preserve"> For a UE that supports less SMTCs than what is included in this list, it is up to the UE to select which SMTCs to consider.</w:t>
            </w:r>
          </w:p>
          <w:p w14:paraId="319DE969" w14:textId="77777777" w:rsidR="0043217D" w:rsidRDefault="0043217D" w:rsidP="005C23A4"/>
        </w:tc>
      </w:tr>
    </w:tbl>
    <w:p w14:paraId="0F1C7411" w14:textId="77777777" w:rsidR="0043217D" w:rsidRDefault="0043217D" w:rsidP="005C23A4"/>
    <w:p w14:paraId="6DCED6E3" w14:textId="77777777" w:rsidR="00C97583" w:rsidRDefault="0043217D" w:rsidP="005C23A4">
      <w:r>
        <w:lastRenderedPageBreak/>
        <w:t xml:space="preserve">Therefore, the question is: whether it is possible to guarantee – via </w:t>
      </w:r>
      <w:r w:rsidR="006111A5">
        <w:t xml:space="preserve">the offset in timing between the two nodes – that the SSB transmitted do not overlap at UE reception. </w:t>
      </w:r>
    </w:p>
    <w:p w14:paraId="065C840A" w14:textId="2E0436E8" w:rsidR="00430EF3" w:rsidRDefault="00430EF3" w:rsidP="005C23A4">
      <w:r>
        <w:t xml:space="preserve">For clarity and brevity, the calculations used to derive the conclusions in this section are presented in Annex A of the current document. </w:t>
      </w:r>
    </w:p>
    <w:p w14:paraId="664FCFC4" w14:textId="77777777" w:rsidR="00430EF3" w:rsidRDefault="00430EF3" w:rsidP="005C23A4"/>
    <w:p w14:paraId="767DA339" w14:textId="77777777" w:rsidR="006F15EA" w:rsidRDefault="006F15EA" w:rsidP="006F15EA">
      <w:pPr>
        <w:pStyle w:val="RAN4Observation"/>
      </w:pPr>
      <w:r>
        <w:t xml:space="preserve">For NGSO, it is possible to guarantee that a proper offset can be set in any scenario to avoid overlap between SSBs. </w:t>
      </w:r>
    </w:p>
    <w:p w14:paraId="4CEBB000" w14:textId="30B8902A" w:rsidR="006F15EA" w:rsidRDefault="006F15EA" w:rsidP="006F15EA">
      <w:pPr>
        <w:pStyle w:val="RAN4Observation"/>
      </w:pPr>
      <w:r>
        <w:t>For GSO, it is not always possible to guarantee non overlapping SSB at UE reception in every scenario simply based on offset</w:t>
      </w:r>
      <w:r w:rsidR="00A8046E">
        <w:t xml:space="preserve">, but satellite switching might not be as relevant for GSO. </w:t>
      </w:r>
    </w:p>
    <w:p w14:paraId="1143C25D" w14:textId="77777777" w:rsidR="00430EF3" w:rsidRDefault="00430EF3" w:rsidP="006F15EA">
      <w:pPr>
        <w:pStyle w:val="RAN4observation0"/>
        <w:numPr>
          <w:ilvl w:val="0"/>
          <w:numId w:val="0"/>
        </w:numPr>
      </w:pPr>
    </w:p>
    <w:p w14:paraId="5C7D8FA8" w14:textId="4BB51A05" w:rsidR="006F15EA" w:rsidRDefault="006F15EA" w:rsidP="006F15EA">
      <w:r>
        <w:t xml:space="preserve">Another critical aspect of the soft-switch operation is that the current understanding is that during the “soft-switch duration”, i.e., the interval between t-start and t-service, both satellites will be broadcasting the same cell, while UEs are slowly moved from one anchor satellite to another. This means, that DL transmissions in the target satellite start earlier for some UEs, while other UEs might still be hooked on the source satellite. </w:t>
      </w:r>
    </w:p>
    <w:p w14:paraId="7CEB5665" w14:textId="77777777" w:rsidR="006F15EA" w:rsidRDefault="006F15EA" w:rsidP="006F15EA">
      <w:r>
        <w:t xml:space="preserve">However, as it is demonstrated in the annex the DL delay differential observed by different UEs in the same NGSO cell can be as high as 6,28 ms. </w:t>
      </w:r>
      <w:proofErr w:type="gramStart"/>
      <w:r>
        <w:t>Meaning, the overlapping slots</w:t>
      </w:r>
      <w:proofErr w:type="gramEnd"/>
      <w:r>
        <w:t xml:space="preserve"> vary significantly depending on the observing UE. </w:t>
      </w:r>
    </w:p>
    <w:p w14:paraId="3C8E72F8" w14:textId="0F0E1F7D" w:rsidR="006F15EA" w:rsidRPr="006F15EA" w:rsidRDefault="006F15EA" w:rsidP="006F15EA">
      <w:r>
        <w:t xml:space="preserve">In this case, source and target satellites will both be broadcasting the same cell, in the same area but with different overlapping slots at UE reception. The DL payload data allocated to some UEs will necessarily constitute interference to the other UEs.  </w:t>
      </w:r>
      <w:r w:rsidR="008E4A52">
        <w:t xml:space="preserve">In this case, depending on the difference in power between source and target satellite one or both SSBs (from source and target) might not be fully decodable.  </w:t>
      </w:r>
    </w:p>
    <w:p w14:paraId="2B9E763A" w14:textId="77777777" w:rsidR="004518F1" w:rsidRDefault="004518F1" w:rsidP="005C23A4"/>
    <w:p w14:paraId="6CA75590" w14:textId="3E1E4A52" w:rsidR="008E4A52" w:rsidRDefault="008E4A52" w:rsidP="008E4A52">
      <w:pPr>
        <w:pStyle w:val="RAN4observation0"/>
      </w:pPr>
      <w:bookmarkStart w:id="5" w:name="_Toc159273088"/>
      <w:r>
        <w:t>Depending on the difference in power between source and target satellite, the destructive interference caused by the DL payload from either source or target satellite might make the SSB data from the other satellite not decodable at the UE side.</w:t>
      </w:r>
      <w:bookmarkEnd w:id="5"/>
      <w:r>
        <w:t xml:space="preserve"> </w:t>
      </w:r>
    </w:p>
    <w:p w14:paraId="56EC230C" w14:textId="77777777" w:rsidR="008E4A52" w:rsidRDefault="008E4A52" w:rsidP="008E4A52">
      <w:pPr>
        <w:pStyle w:val="RAN4observation0"/>
        <w:numPr>
          <w:ilvl w:val="0"/>
          <w:numId w:val="0"/>
        </w:numPr>
      </w:pPr>
    </w:p>
    <w:p w14:paraId="1A765C71" w14:textId="280ED822" w:rsidR="001D270C" w:rsidRDefault="00A8046E" w:rsidP="001D270C">
      <w:r>
        <w:t xml:space="preserve">For observation 3, it might be considered that this can be </w:t>
      </w:r>
      <w:proofErr w:type="gramStart"/>
      <w:r>
        <w:t>taken into account</w:t>
      </w:r>
      <w:proofErr w:type="gramEnd"/>
      <w:r>
        <w:t xml:space="preserve"> by the NW scheduler to avoid data </w:t>
      </w:r>
      <w:proofErr w:type="spellStart"/>
      <w:r>
        <w:t>colistion</w:t>
      </w:r>
      <w:proofErr w:type="spellEnd"/>
      <w:r>
        <w:t>, however, there is a</w:t>
      </w:r>
      <w:r w:rsidR="001D270C">
        <w:t>nother aspect to be taken into consideration is relative to the scheduling restrictions and the SMTC measurements</w:t>
      </w:r>
      <w:r w:rsidR="00F62555">
        <w:t xml:space="preserve">. </w:t>
      </w:r>
      <w:proofErr w:type="gramStart"/>
      <w:r w:rsidR="00F62555">
        <w:t>First of all</w:t>
      </w:r>
      <w:proofErr w:type="gramEnd"/>
      <w:r w:rsidR="00F62555">
        <w:t>, regarding the SMTC configuration, there are two options available:</w:t>
      </w:r>
    </w:p>
    <w:p w14:paraId="4DB0B95A" w14:textId="1A70C129" w:rsidR="00F62555" w:rsidRDefault="00F62555" w:rsidP="00F62555">
      <w:pPr>
        <w:pStyle w:val="ListParagraph"/>
        <w:numPr>
          <w:ilvl w:val="0"/>
          <w:numId w:val="38"/>
        </w:numPr>
      </w:pPr>
      <w:r>
        <w:t xml:space="preserve">Option 1: The same SMTC configuration used for the source node is reused for the target node. The UE no longer measures the source </w:t>
      </w:r>
      <w:proofErr w:type="gramStart"/>
      <w:r>
        <w:t>node, and</w:t>
      </w:r>
      <w:proofErr w:type="gramEnd"/>
      <w:r>
        <w:t xml:space="preserve"> dedicates the SMTC to measure the target node. </w:t>
      </w:r>
    </w:p>
    <w:p w14:paraId="4126FFB9" w14:textId="03E54296" w:rsidR="00F62555" w:rsidRDefault="00F62555" w:rsidP="00F62555">
      <w:pPr>
        <w:pStyle w:val="ListParagraph"/>
        <w:numPr>
          <w:ilvl w:val="0"/>
          <w:numId w:val="38"/>
        </w:numPr>
      </w:pPr>
      <w:r>
        <w:t xml:space="preserve">Option 2: Different SMTC configuration is provided for the UE to measure the target node. </w:t>
      </w:r>
    </w:p>
    <w:p w14:paraId="7D9C14ED" w14:textId="77777777" w:rsidR="00F62555" w:rsidRDefault="00F62555" w:rsidP="00F62555"/>
    <w:p w14:paraId="20637C4E" w14:textId="04FA01E1" w:rsidR="00D421F5" w:rsidRPr="002F6DD2" w:rsidRDefault="00F62555" w:rsidP="00D421F5">
      <w:pPr>
        <w:pStyle w:val="TAL"/>
        <w:rPr>
          <w:rFonts w:ascii="Times New Roman" w:hAnsi="Times New Roman" w:cs="Times New Roman"/>
          <w:sz w:val="20"/>
          <w:szCs w:val="24"/>
          <w:lang w:val="en-US" w:eastAsia="zh-CN"/>
        </w:rPr>
      </w:pPr>
      <w:r w:rsidRPr="002F6DD2">
        <w:rPr>
          <w:rFonts w:ascii="Times New Roman" w:hAnsi="Times New Roman" w:cs="Times New Roman"/>
          <w:sz w:val="20"/>
          <w:szCs w:val="24"/>
        </w:rPr>
        <w:t xml:space="preserve">None of these two options fully solves the problem. In option 1, the UE </w:t>
      </w:r>
      <w:proofErr w:type="gramStart"/>
      <w:r w:rsidRPr="002F6DD2">
        <w:rPr>
          <w:rFonts w:ascii="Times New Roman" w:hAnsi="Times New Roman" w:cs="Times New Roman"/>
          <w:sz w:val="20"/>
          <w:szCs w:val="24"/>
        </w:rPr>
        <w:t>has to</w:t>
      </w:r>
      <w:proofErr w:type="gramEnd"/>
      <w:r w:rsidRPr="002F6DD2">
        <w:rPr>
          <w:rFonts w:ascii="Times New Roman" w:hAnsi="Times New Roman" w:cs="Times New Roman"/>
          <w:sz w:val="20"/>
          <w:szCs w:val="24"/>
        </w:rPr>
        <w:t xml:space="preserve"> drop the measurements towards the source satellite to adjust the SMTC configuration toward the target satellite, adjusting time and frequency. However, the UE can only measure a different satellite without DL/UL restriction if the UE supports </w:t>
      </w:r>
      <w:r w:rsidR="00D421F5" w:rsidRPr="002F6DD2">
        <w:rPr>
          <w:rFonts w:ascii="Times New Roman" w:hAnsi="Times New Roman" w:cs="Times New Roman"/>
          <w:sz w:val="20"/>
          <w:szCs w:val="24"/>
        </w:rPr>
        <w:t>the capability p</w:t>
      </w:r>
      <w:r w:rsidR="00D421F5" w:rsidRPr="002F6DD2">
        <w:rPr>
          <w:rFonts w:ascii="Times New Roman" w:hAnsi="Times New Roman" w:cs="Times New Roman"/>
          <w:b/>
          <w:i/>
          <w:sz w:val="20"/>
          <w:szCs w:val="24"/>
        </w:rPr>
        <w:t xml:space="preserve">arallelMeasurementWithoutRestriction-r17. </w:t>
      </w:r>
      <w:r w:rsidR="00D421F5" w:rsidRPr="002F6DD2">
        <w:rPr>
          <w:rFonts w:ascii="Times New Roman" w:hAnsi="Times New Roman" w:cs="Times New Roman"/>
          <w:sz w:val="20"/>
          <w:szCs w:val="24"/>
        </w:rPr>
        <w:t>If the UE does not support it, it is not expected to transmit</w:t>
      </w:r>
      <w:r w:rsidR="00D421F5" w:rsidRPr="002F6DD2">
        <w:rPr>
          <w:rFonts w:ascii="Times New Roman" w:hAnsi="Times New Roman" w:cs="Times New Roman"/>
          <w:b/>
          <w:i/>
          <w:sz w:val="20"/>
          <w:szCs w:val="24"/>
        </w:rPr>
        <w:t xml:space="preserve"> </w:t>
      </w:r>
      <w:r w:rsidR="00D421F5" w:rsidRPr="002F6DD2">
        <w:rPr>
          <w:rFonts w:ascii="Times New Roman" w:hAnsi="Times New Roman" w:cs="Times New Roman"/>
          <w:sz w:val="20"/>
          <w:szCs w:val="24"/>
          <w:lang w:val="en-US" w:eastAsia="zh-CN"/>
        </w:rPr>
        <w:t xml:space="preserve">PUCCH/PUSCH/SRS or receive PDCCH/PDSCH/TRS/CSI-RS for CQI on all symbols within SMTC window duration. But the problem, is that the network is not capable to estimate the propagation delay difference, as it does not have an estimation of the delay from the UE towards the target satellite. </w:t>
      </w:r>
      <w:proofErr w:type="gramStart"/>
      <w:r w:rsidR="00D421F5" w:rsidRPr="002F6DD2">
        <w:rPr>
          <w:rFonts w:ascii="Times New Roman" w:hAnsi="Times New Roman" w:cs="Times New Roman"/>
          <w:sz w:val="20"/>
          <w:szCs w:val="24"/>
          <w:lang w:val="en-US" w:eastAsia="zh-CN"/>
        </w:rPr>
        <w:t>So</w:t>
      </w:r>
      <w:proofErr w:type="gramEnd"/>
      <w:r w:rsidR="00D421F5" w:rsidRPr="002F6DD2">
        <w:rPr>
          <w:rFonts w:ascii="Times New Roman" w:hAnsi="Times New Roman" w:cs="Times New Roman"/>
          <w:sz w:val="20"/>
          <w:szCs w:val="24"/>
          <w:lang w:val="en-US" w:eastAsia="zh-CN"/>
        </w:rPr>
        <w:t xml:space="preserve"> it cannot estimate where the SMTC window will be placed by the UE. In short, from NW point of view, all UL/DL resources are restricted to this UE that “may” be measuring the different node. </w:t>
      </w:r>
    </w:p>
    <w:p w14:paraId="0BDF1B67" w14:textId="5B45D0AE" w:rsidR="00D421F5" w:rsidRPr="00D421F5" w:rsidRDefault="00D421F5" w:rsidP="00D421F5">
      <w:pPr>
        <w:pStyle w:val="TAL"/>
        <w:rPr>
          <w:lang w:val="en-US" w:eastAsia="zh-CN"/>
        </w:rPr>
      </w:pPr>
      <w:r>
        <w:rPr>
          <w:lang w:val="en-US" w:eastAsia="zh-CN"/>
        </w:rPr>
        <w:t xml:space="preserve"> </w:t>
      </w:r>
    </w:p>
    <w:p w14:paraId="48E5BD06" w14:textId="0743187E" w:rsidR="00F62555" w:rsidRDefault="00D421F5" w:rsidP="00F62555">
      <w:pPr>
        <w:rPr>
          <w:lang w:val="en-US"/>
        </w:rPr>
      </w:pPr>
      <w:r>
        <w:rPr>
          <w:lang w:val="en-US"/>
        </w:rPr>
        <w:t xml:space="preserve">In the second option, it is easier to estimate the network restriction, but </w:t>
      </w:r>
      <w:r w:rsidR="000065F4">
        <w:rPr>
          <w:lang w:val="en-US"/>
        </w:rPr>
        <w:t xml:space="preserve">it is much harder to guarantee that the configured SMTC will </w:t>
      </w:r>
      <w:proofErr w:type="gramStart"/>
      <w:r w:rsidR="000065F4">
        <w:rPr>
          <w:lang w:val="en-US"/>
        </w:rPr>
        <w:t>actually overlap</w:t>
      </w:r>
      <w:proofErr w:type="gramEnd"/>
      <w:r w:rsidR="000065F4">
        <w:rPr>
          <w:lang w:val="en-US"/>
        </w:rPr>
        <w:t xml:space="preserve"> with the SSB reception from the target node by the UE, as the UE cannot adjust this configuration. </w:t>
      </w:r>
    </w:p>
    <w:p w14:paraId="4D15BF43" w14:textId="7A064E94" w:rsidR="000065F4" w:rsidRDefault="000065F4" w:rsidP="000065F4">
      <w:pPr>
        <w:pStyle w:val="RAN4observation0"/>
        <w:rPr>
          <w:lang w:val="en-US"/>
        </w:rPr>
      </w:pPr>
      <w:bookmarkStart w:id="6" w:name="_Toc159273089"/>
      <w:r>
        <w:rPr>
          <w:lang w:val="en-US"/>
        </w:rPr>
        <w:t xml:space="preserve">If the UE is configured with a different SMTC for the target </w:t>
      </w:r>
      <w:proofErr w:type="gramStart"/>
      <w:r>
        <w:rPr>
          <w:lang w:val="en-US"/>
        </w:rPr>
        <w:t>satellite, but</w:t>
      </w:r>
      <w:proofErr w:type="gramEnd"/>
      <w:r>
        <w:rPr>
          <w:lang w:val="en-US"/>
        </w:rPr>
        <w:t xml:space="preserve"> cannot adjust the SMTC window due to the propagation delay difference, the NW cannot guarantee that the SMTC opportunities will coincide with the SSB reception by the UE.</w:t>
      </w:r>
      <w:bookmarkEnd w:id="6"/>
    </w:p>
    <w:p w14:paraId="76339A98" w14:textId="3B416F3D" w:rsidR="000065F4" w:rsidRPr="000065F4" w:rsidRDefault="000065F4" w:rsidP="000065F4">
      <w:pPr>
        <w:pStyle w:val="RAN4observation0"/>
        <w:rPr>
          <w:iCs/>
          <w:lang w:val="en-US"/>
        </w:rPr>
      </w:pPr>
      <w:bookmarkStart w:id="7" w:name="_Toc159273090"/>
      <w:r>
        <w:rPr>
          <w:lang w:val="en-US"/>
        </w:rPr>
        <w:lastRenderedPageBreak/>
        <w:t xml:space="preserve">If the UE can adjust the SMTC opportunity to measure the target satellite due to the propagation delay difference, then if the UE does not support </w:t>
      </w:r>
      <w:r>
        <w:t>p</w:t>
      </w:r>
      <w:r w:rsidRPr="00BE555F">
        <w:rPr>
          <w:b/>
          <w:i/>
        </w:rPr>
        <w:t>arallelMeasurementWithoutRestriction-r17</w:t>
      </w:r>
      <w:r w:rsidRPr="000065F4">
        <w:rPr>
          <w:bCs/>
          <w:iCs/>
        </w:rPr>
        <w:t xml:space="preserve">, this UE </w:t>
      </w:r>
      <w:proofErr w:type="gramStart"/>
      <w:r w:rsidRPr="000065F4">
        <w:rPr>
          <w:bCs/>
          <w:iCs/>
        </w:rPr>
        <w:t>has to</w:t>
      </w:r>
      <w:proofErr w:type="gramEnd"/>
      <w:r w:rsidRPr="000065F4">
        <w:rPr>
          <w:bCs/>
          <w:iCs/>
        </w:rPr>
        <w:t xml:space="preserve"> be considered to be in scheduling restrictions for the whole duration of the soft-switch window.</w:t>
      </w:r>
      <w:bookmarkEnd w:id="7"/>
      <w:r w:rsidRPr="000065F4">
        <w:rPr>
          <w:bCs/>
          <w:iCs/>
        </w:rPr>
        <w:t xml:space="preserve"> </w:t>
      </w:r>
    </w:p>
    <w:p w14:paraId="42B4E6A1" w14:textId="77777777" w:rsidR="001D270C" w:rsidRPr="000065F4" w:rsidRDefault="001D270C" w:rsidP="001D270C">
      <w:pPr>
        <w:rPr>
          <w:lang w:val="en-US"/>
        </w:rPr>
      </w:pPr>
    </w:p>
    <w:p w14:paraId="149669CB" w14:textId="77777777" w:rsidR="001D270C" w:rsidRPr="001D270C" w:rsidRDefault="001D270C" w:rsidP="001D270C"/>
    <w:p w14:paraId="4D25275E" w14:textId="77777777" w:rsidR="008E4A52" w:rsidRDefault="008E4A52" w:rsidP="008E4A52">
      <w:pPr>
        <w:pStyle w:val="RAN4observation0"/>
        <w:numPr>
          <w:ilvl w:val="0"/>
          <w:numId w:val="0"/>
        </w:numPr>
      </w:pPr>
      <w:bookmarkStart w:id="8" w:name="_Toc159273091"/>
      <w:r>
        <w:t>Based on this discussion we propose:</w:t>
      </w:r>
      <w:bookmarkEnd w:id="8"/>
    </w:p>
    <w:p w14:paraId="77F61E9E" w14:textId="4E2B7FC2" w:rsidR="008E4A52" w:rsidRDefault="008E4A52" w:rsidP="008E4A52">
      <w:pPr>
        <w:pStyle w:val="RAN4proposal"/>
      </w:pPr>
      <w:bookmarkStart w:id="9" w:name="_Toc159273092"/>
      <w:r>
        <w:t>Include the following observations on the LS reply to RAN 2:</w:t>
      </w:r>
      <w:bookmarkEnd w:id="9"/>
    </w:p>
    <w:p w14:paraId="3BC0DDC3" w14:textId="7D907E24" w:rsidR="008E4A52" w:rsidRDefault="008E4A52" w:rsidP="00770F4F">
      <w:pPr>
        <w:pStyle w:val="RAN4proposal"/>
        <w:numPr>
          <w:ilvl w:val="1"/>
          <w:numId w:val="7"/>
        </w:numPr>
      </w:pPr>
      <w:bookmarkStart w:id="10" w:name="_Toc159273093"/>
      <w:r>
        <w:t xml:space="preserve">For NGSO, it is possible to guarantee that a proper offset can be set in any scenario to avoid overlap between SSBs. </w:t>
      </w:r>
      <w:r w:rsidR="00A8046E">
        <w:t xml:space="preserve"> </w:t>
      </w:r>
      <w:r>
        <w:t>For GSO, it is not always possible to guarantee non overlapping SSB at UE reception in every scenario simply based on offset</w:t>
      </w:r>
      <w:r w:rsidR="00A8046E">
        <w:t>, but it might not be as relevant as a scenario.</w:t>
      </w:r>
      <w:bookmarkEnd w:id="10"/>
    </w:p>
    <w:p w14:paraId="15FE180F" w14:textId="32591ADF" w:rsidR="000065F4" w:rsidRPr="000065F4" w:rsidRDefault="00A8046E" w:rsidP="006A447C">
      <w:pPr>
        <w:pStyle w:val="RAN4proposal"/>
        <w:numPr>
          <w:ilvl w:val="1"/>
          <w:numId w:val="7"/>
        </w:numPr>
        <w:rPr>
          <w:lang w:val="en-US"/>
        </w:rPr>
      </w:pPr>
      <w:bookmarkStart w:id="11" w:name="_Toc159273094"/>
      <w:r>
        <w:t>For</w:t>
      </w:r>
      <w:r w:rsidR="008E4A52">
        <w:t xml:space="preserve"> NGSO, depending on the difference in power between source and target satellite, the destructive interference caused by the DL payload from either source or target satellite might make the SSB data from the other satellite not decodable at the UE side.</w:t>
      </w:r>
      <w:r>
        <w:t xml:space="preserve"> However, this can be addressed by scheduler implementation.</w:t>
      </w:r>
      <w:bookmarkEnd w:id="11"/>
      <w:r w:rsidR="008E4A52">
        <w:t xml:space="preserve"> </w:t>
      </w:r>
    </w:p>
    <w:p w14:paraId="478B2062" w14:textId="77777777" w:rsidR="000065F4" w:rsidRDefault="000065F4" w:rsidP="006E24DB">
      <w:pPr>
        <w:pStyle w:val="RAN4proposal"/>
        <w:numPr>
          <w:ilvl w:val="1"/>
          <w:numId w:val="7"/>
        </w:numPr>
        <w:rPr>
          <w:lang w:val="en-US"/>
        </w:rPr>
      </w:pPr>
      <w:bookmarkStart w:id="12" w:name="_Toc159273095"/>
      <w:r w:rsidRPr="000065F4">
        <w:rPr>
          <w:lang w:val="en-US"/>
        </w:rPr>
        <w:t xml:space="preserve">If the UE is configured with a different SMTC for the target </w:t>
      </w:r>
      <w:proofErr w:type="gramStart"/>
      <w:r w:rsidRPr="000065F4">
        <w:rPr>
          <w:lang w:val="en-US"/>
        </w:rPr>
        <w:t>satellite, but</w:t>
      </w:r>
      <w:proofErr w:type="gramEnd"/>
      <w:r w:rsidRPr="000065F4">
        <w:rPr>
          <w:lang w:val="en-US"/>
        </w:rPr>
        <w:t xml:space="preserve"> cannot adjust the SMTC window due to the propagation delay difference, the NW cannot guarantee that the SMTC opportunities will coincide with the SSB reception by the UE.</w:t>
      </w:r>
      <w:bookmarkEnd w:id="12"/>
      <w:r w:rsidRPr="000065F4">
        <w:rPr>
          <w:lang w:val="en-US"/>
        </w:rPr>
        <w:t xml:space="preserve"> </w:t>
      </w:r>
    </w:p>
    <w:p w14:paraId="2C6F5F04" w14:textId="3413F044" w:rsidR="000065F4" w:rsidRDefault="000065F4" w:rsidP="006E24DB">
      <w:pPr>
        <w:pStyle w:val="RAN4proposal"/>
        <w:numPr>
          <w:ilvl w:val="1"/>
          <w:numId w:val="7"/>
        </w:numPr>
        <w:rPr>
          <w:bCs/>
        </w:rPr>
      </w:pPr>
      <w:bookmarkStart w:id="13" w:name="_Toc159273096"/>
      <w:r w:rsidRPr="000065F4">
        <w:rPr>
          <w:lang w:val="en-US"/>
        </w:rPr>
        <w:t xml:space="preserve">If the UE </w:t>
      </w:r>
      <w:r w:rsidR="00370B6F">
        <w:rPr>
          <w:lang w:val="en-US"/>
        </w:rPr>
        <w:t>is allowed to</w:t>
      </w:r>
      <w:r w:rsidR="00370B6F" w:rsidRPr="000065F4">
        <w:rPr>
          <w:lang w:val="en-US"/>
        </w:rPr>
        <w:t xml:space="preserve"> </w:t>
      </w:r>
      <w:r w:rsidRPr="000065F4">
        <w:rPr>
          <w:lang w:val="en-US"/>
        </w:rPr>
        <w:t xml:space="preserve">adjust the SMTC opportunity to measure the target satellite due to the propagation delay difference, then if the UE does not support </w:t>
      </w:r>
      <w:r>
        <w:t>p</w:t>
      </w:r>
      <w:r w:rsidRPr="000065F4">
        <w:rPr>
          <w:i/>
        </w:rPr>
        <w:t>arallelMeasurementWithoutRestriction-r17</w:t>
      </w:r>
      <w:r w:rsidRPr="000065F4">
        <w:rPr>
          <w:bCs/>
        </w:rPr>
        <w:t xml:space="preserve">, this UE </w:t>
      </w:r>
      <w:proofErr w:type="gramStart"/>
      <w:r w:rsidRPr="000065F4">
        <w:rPr>
          <w:bCs/>
        </w:rPr>
        <w:t>has to</w:t>
      </w:r>
      <w:proofErr w:type="gramEnd"/>
      <w:r w:rsidRPr="000065F4">
        <w:rPr>
          <w:bCs/>
        </w:rPr>
        <w:t xml:space="preserve"> be considered to be in scheduling restrictions for the whole duration of the soft-switch window.</w:t>
      </w:r>
      <w:bookmarkEnd w:id="13"/>
      <w:r w:rsidRPr="000065F4">
        <w:rPr>
          <w:bCs/>
        </w:rPr>
        <w:t xml:space="preserve"> </w:t>
      </w:r>
    </w:p>
    <w:p w14:paraId="0EB1A114" w14:textId="77777777" w:rsidR="00A8046E" w:rsidRPr="00A8046E" w:rsidRDefault="00A8046E" w:rsidP="00A8046E"/>
    <w:p w14:paraId="21A7FB30" w14:textId="5CE5EBFF" w:rsidR="00C35AEB" w:rsidRDefault="00C35AEB" w:rsidP="000065F4">
      <w:pPr>
        <w:rPr>
          <w:lang w:val="en-US"/>
        </w:rPr>
      </w:pPr>
      <w:r>
        <w:rPr>
          <w:lang w:val="en-US"/>
        </w:rPr>
        <w:t xml:space="preserve">In [2] </w:t>
      </w:r>
      <w:proofErr w:type="gramStart"/>
      <w:r>
        <w:rPr>
          <w:lang w:val="en-US"/>
        </w:rPr>
        <w:t>is</w:t>
      </w:r>
      <w:proofErr w:type="gramEnd"/>
      <w:r>
        <w:rPr>
          <w:lang w:val="en-US"/>
        </w:rPr>
        <w:t xml:space="preserve"> was written that</w:t>
      </w:r>
    </w:p>
    <w:p w14:paraId="3A39319A" w14:textId="77777777" w:rsidR="00C35AEB" w:rsidRPr="008E2891" w:rsidRDefault="00C35AEB" w:rsidP="008E2891">
      <w:pPr>
        <w:numPr>
          <w:ilvl w:val="0"/>
          <w:numId w:val="40"/>
        </w:num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line="276" w:lineRule="auto"/>
        <w:jc w:val="both"/>
        <w:rPr>
          <w:rFonts w:ascii="Arial" w:eastAsia="SimSun" w:hAnsi="Arial" w:cs="Arial"/>
          <w:color w:val="000000"/>
          <w:highlight w:val="yellow"/>
          <w:lang w:val="en-US" w:eastAsia="ko-KR"/>
        </w:rPr>
      </w:pPr>
      <w:r>
        <w:rPr>
          <w:rFonts w:ascii="Arial" w:eastAsia="SimSun" w:hAnsi="Arial" w:cs="Arial"/>
          <w:color w:val="000000"/>
          <w:highlight w:val="yellow"/>
          <w:lang w:eastAsia="ko-KR"/>
        </w:rPr>
        <w:t xml:space="preserve">Target satellite SSB tracking is handled autonomously by the UE based on the provided SSB time </w:t>
      </w:r>
      <w:proofErr w:type="gramStart"/>
      <w:r>
        <w:rPr>
          <w:rFonts w:ascii="Arial" w:eastAsia="SimSun" w:hAnsi="Arial" w:cs="Arial"/>
          <w:color w:val="000000"/>
          <w:highlight w:val="yellow"/>
          <w:lang w:eastAsia="ko-KR"/>
        </w:rPr>
        <w:t>offset</w:t>
      </w:r>
      <w:proofErr w:type="gramEnd"/>
      <w:r>
        <w:rPr>
          <w:rFonts w:ascii="Arial" w:eastAsia="SimSun" w:hAnsi="Arial" w:cs="Arial"/>
          <w:color w:val="000000"/>
          <w:highlight w:val="yellow"/>
          <w:lang w:eastAsia="ko-KR"/>
        </w:rPr>
        <w:t xml:space="preserve"> </w:t>
      </w:r>
    </w:p>
    <w:p w14:paraId="64D1E0EB" w14:textId="7CB5763D" w:rsidR="00C35AEB" w:rsidRDefault="00F1554B" w:rsidP="000065F4">
      <w:pPr>
        <w:rPr>
          <w:lang w:val="en-US"/>
        </w:rPr>
      </w:pPr>
      <w:r>
        <w:rPr>
          <w:lang w:val="en-US"/>
        </w:rPr>
        <w:t xml:space="preserve">Now </w:t>
      </w:r>
      <w:r w:rsidR="007B481E">
        <w:rPr>
          <w:lang w:val="en-US"/>
        </w:rPr>
        <w:t xml:space="preserve">one issue is what happens if the SSB tracking requires the SMTC window to be moved, as the SSB reception falls outside the </w:t>
      </w:r>
      <w:r w:rsidR="00656658">
        <w:rPr>
          <w:lang w:val="en-US"/>
        </w:rPr>
        <w:t xml:space="preserve">window. The UE can adjust the SMTC window itself </w:t>
      </w:r>
      <w:r w:rsidR="005950FF">
        <w:rPr>
          <w:lang w:val="en-US"/>
        </w:rPr>
        <w:t xml:space="preserve">for instance when </w:t>
      </w:r>
      <w:r w:rsidR="002A7F53">
        <w:rPr>
          <w:lang w:val="en-US"/>
        </w:rPr>
        <w:t xml:space="preserve">the SSB is </w:t>
      </w:r>
      <w:r w:rsidR="00253D4E">
        <w:rPr>
          <w:lang w:val="en-US"/>
        </w:rPr>
        <w:t xml:space="preserve">at a certain offset of the middle of the window. However, the network needs to </w:t>
      </w:r>
      <w:proofErr w:type="gramStart"/>
      <w:r w:rsidR="00253D4E">
        <w:rPr>
          <w:lang w:val="en-US"/>
        </w:rPr>
        <w:t>have an</w:t>
      </w:r>
      <w:r w:rsidR="009010B8">
        <w:rPr>
          <w:lang w:val="en-US"/>
        </w:rPr>
        <w:t xml:space="preserve"> </w:t>
      </w:r>
      <w:r w:rsidR="00253D4E">
        <w:rPr>
          <w:lang w:val="en-US"/>
        </w:rPr>
        <w:t>understanding of</w:t>
      </w:r>
      <w:proofErr w:type="gramEnd"/>
      <w:r w:rsidR="00253D4E">
        <w:rPr>
          <w:lang w:val="en-US"/>
        </w:rPr>
        <w:t xml:space="preserve"> this as it needs to take it in account when doing scheduling decisions.</w:t>
      </w:r>
    </w:p>
    <w:p w14:paraId="26270AB7" w14:textId="18BCA436" w:rsidR="00A8046E" w:rsidRDefault="00A8046E" w:rsidP="000065F4">
      <w:pPr>
        <w:rPr>
          <w:lang w:val="en-US"/>
        </w:rPr>
      </w:pPr>
      <w:r>
        <w:rPr>
          <w:lang w:val="en-US"/>
        </w:rPr>
        <w:t xml:space="preserve">Based on this, there are two approaches that might alleviate this problem: </w:t>
      </w:r>
    </w:p>
    <w:p w14:paraId="24E3E596" w14:textId="5C06FC78" w:rsidR="00A8046E" w:rsidRDefault="00A8046E" w:rsidP="00A8046E">
      <w:pPr>
        <w:pStyle w:val="ListParagraph"/>
        <w:numPr>
          <w:ilvl w:val="0"/>
          <w:numId w:val="41"/>
        </w:numPr>
        <w:rPr>
          <w:lang w:val="en-US"/>
        </w:rPr>
      </w:pPr>
      <w:r>
        <w:rPr>
          <w:lang w:val="en-US"/>
        </w:rPr>
        <w:t>Option 1: Create a mechanism to allow the UE to report the PDD during the setup of satellite switching with re-</w:t>
      </w:r>
      <w:proofErr w:type="gramStart"/>
      <w:r>
        <w:rPr>
          <w:lang w:val="en-US"/>
        </w:rPr>
        <w:t>sync</w:t>
      </w:r>
      <w:proofErr w:type="gramEnd"/>
    </w:p>
    <w:p w14:paraId="6167E7AF" w14:textId="05AFDF61" w:rsidR="00A8046E" w:rsidRPr="00A8046E" w:rsidRDefault="00A8046E" w:rsidP="00A8046E">
      <w:pPr>
        <w:pStyle w:val="ListParagraph"/>
        <w:numPr>
          <w:ilvl w:val="0"/>
          <w:numId w:val="41"/>
        </w:numPr>
        <w:rPr>
          <w:lang w:val="en-US"/>
        </w:rPr>
      </w:pPr>
      <w:r>
        <w:rPr>
          <w:lang w:val="en-US"/>
        </w:rPr>
        <w:t>Option 2: Only allow UEs to perform the measurement in the target satellite, if the scheduling restriction caused by the sliding of the SMTC window is below a given threshold “T”, i.e., if the PDD is smaller than T.</w:t>
      </w:r>
    </w:p>
    <w:p w14:paraId="08D7D5B5" w14:textId="682ECC1D" w:rsidR="00253D4E" w:rsidRDefault="00A8046E" w:rsidP="00A8046E">
      <w:pPr>
        <w:pStyle w:val="RAN4proposal"/>
        <w:rPr>
          <w:lang w:val="en-US"/>
        </w:rPr>
      </w:pPr>
      <w:bookmarkStart w:id="14" w:name="_Toc159273097"/>
      <w:proofErr w:type="gramStart"/>
      <w:r>
        <w:rPr>
          <w:lang w:val="en-US"/>
        </w:rPr>
        <w:t>In order to</w:t>
      </w:r>
      <w:proofErr w:type="gramEnd"/>
      <w:r>
        <w:rPr>
          <w:lang w:val="en-US"/>
        </w:rPr>
        <w:t xml:space="preserve"> alleviate the scheduling restriction problem, RAN4 to ask RAN2 in the LS to provide one of the following solutions:</w:t>
      </w:r>
      <w:bookmarkEnd w:id="14"/>
    </w:p>
    <w:p w14:paraId="4F07E99A" w14:textId="77777777" w:rsidR="00A8046E" w:rsidRDefault="00A8046E" w:rsidP="00A8046E">
      <w:pPr>
        <w:pStyle w:val="RAN4proposal"/>
        <w:numPr>
          <w:ilvl w:val="1"/>
          <w:numId w:val="7"/>
        </w:numPr>
        <w:rPr>
          <w:lang w:val="en-US"/>
        </w:rPr>
      </w:pPr>
      <w:bookmarkStart w:id="15" w:name="_Toc159273098"/>
      <w:r>
        <w:rPr>
          <w:lang w:val="en-US"/>
        </w:rPr>
        <w:t>Option 1: Create a mechanism to allow the UE to report the PDD during the setup of satellite switching with re-</w:t>
      </w:r>
      <w:proofErr w:type="gramStart"/>
      <w:r>
        <w:rPr>
          <w:lang w:val="en-US"/>
        </w:rPr>
        <w:t>sync</w:t>
      </w:r>
      <w:bookmarkEnd w:id="15"/>
      <w:proofErr w:type="gramEnd"/>
    </w:p>
    <w:p w14:paraId="7D999A80" w14:textId="77777777" w:rsidR="00A8046E" w:rsidRPr="00A8046E" w:rsidRDefault="00A8046E" w:rsidP="00A8046E">
      <w:pPr>
        <w:pStyle w:val="RAN4proposal"/>
        <w:numPr>
          <w:ilvl w:val="1"/>
          <w:numId w:val="7"/>
        </w:numPr>
        <w:rPr>
          <w:lang w:val="en-US"/>
        </w:rPr>
      </w:pPr>
      <w:bookmarkStart w:id="16" w:name="_Toc159273099"/>
      <w:r>
        <w:rPr>
          <w:lang w:val="en-US"/>
        </w:rPr>
        <w:t>Option 2: Only allow UEs to perform the measurement in the target satellite, if the scheduling restriction caused by the sliding of the SMTC window is below a given threshold “T”, i.e., if the PDD is smaller than T.</w:t>
      </w:r>
      <w:bookmarkEnd w:id="16"/>
    </w:p>
    <w:p w14:paraId="0C068034" w14:textId="77777777" w:rsidR="00A8046E" w:rsidRPr="00A8046E" w:rsidRDefault="00A8046E" w:rsidP="00A8046E">
      <w:pPr>
        <w:pStyle w:val="RAN4proposal"/>
        <w:numPr>
          <w:ilvl w:val="0"/>
          <w:numId w:val="0"/>
        </w:numPr>
        <w:ind w:left="1080"/>
        <w:rPr>
          <w:lang w:val="en-US"/>
        </w:rPr>
      </w:pPr>
    </w:p>
    <w:p w14:paraId="1D94E103" w14:textId="3DE516C0" w:rsidR="0099133A" w:rsidRDefault="0099133A" w:rsidP="0099133A">
      <w:pPr>
        <w:pStyle w:val="RAN4H2"/>
      </w:pPr>
      <w:r>
        <w:t>Cell Reselection and Idle mode mobility</w:t>
      </w:r>
    </w:p>
    <w:p w14:paraId="1E40082B" w14:textId="71AF387C" w:rsidR="0099133A" w:rsidRDefault="0099133A" w:rsidP="0099133A">
      <w:pPr>
        <w:pStyle w:val="RAN4H3"/>
      </w:pPr>
      <w:r>
        <w:t>NTN to TN cell Reselection</w:t>
      </w:r>
    </w:p>
    <w:p w14:paraId="0CCF1F9E" w14:textId="77777777" w:rsidR="0099133A" w:rsidRDefault="0099133A" w:rsidP="0099133A">
      <w:pPr>
        <w:pStyle w:val="RAN4H3"/>
        <w:numPr>
          <w:ilvl w:val="0"/>
          <w:numId w:val="0"/>
        </w:numPr>
      </w:pPr>
    </w:p>
    <w:p w14:paraId="78F0A57B" w14:textId="759618FF" w:rsidR="0099133A" w:rsidRDefault="0099133A" w:rsidP="0099133A">
      <w:r>
        <w:t xml:space="preserve">In the previous meeting, RAN4 has agreed to define NTN to TN cell Reselection requirements </w:t>
      </w:r>
      <w:r>
        <w:fldChar w:fldCharType="begin"/>
      </w:r>
      <w:r>
        <w:instrText xml:space="preserve"> REF _Ref158818293 \n \h </w:instrText>
      </w:r>
      <w:r>
        <w:fldChar w:fldCharType="separate"/>
      </w:r>
      <w:r>
        <w:t>[6]</w:t>
      </w:r>
      <w:r>
        <w:fldChar w:fldCharType="end"/>
      </w:r>
      <w:r>
        <w:t xml:space="preserve">: </w:t>
      </w:r>
    </w:p>
    <w:tbl>
      <w:tblPr>
        <w:tblStyle w:val="TableGrid"/>
        <w:tblW w:w="0" w:type="auto"/>
        <w:tblLook w:val="04A0" w:firstRow="1" w:lastRow="0" w:firstColumn="1" w:lastColumn="0" w:noHBand="0" w:noVBand="1"/>
      </w:tblPr>
      <w:tblGrid>
        <w:gridCol w:w="9617"/>
      </w:tblGrid>
      <w:tr w:rsidR="0099133A" w14:paraId="51EC142D" w14:textId="77777777" w:rsidTr="0099133A">
        <w:tc>
          <w:tcPr>
            <w:tcW w:w="9617" w:type="dxa"/>
          </w:tcPr>
          <w:p w14:paraId="3FE0822A" w14:textId="77777777" w:rsidR="0099133A" w:rsidRDefault="0099133A" w:rsidP="0099133A">
            <w:pPr>
              <w:outlineLvl w:val="2"/>
              <w:rPr>
                <w:b/>
                <w:u w:val="single"/>
                <w:lang w:eastAsia="ko-KR"/>
              </w:rPr>
            </w:pPr>
            <w:r>
              <w:rPr>
                <w:b/>
                <w:u w:val="single"/>
                <w:lang w:eastAsia="ko-KR"/>
              </w:rPr>
              <w:t>Issue 4-2: NTN to TN cell reselection</w:t>
            </w:r>
          </w:p>
          <w:p w14:paraId="22EE5283" w14:textId="77777777" w:rsidR="0099133A" w:rsidRPr="00B744AA" w:rsidRDefault="0099133A" w:rsidP="0099133A">
            <w:pPr>
              <w:spacing w:after="120" w:line="252" w:lineRule="auto"/>
              <w:ind w:firstLine="284"/>
              <w:rPr>
                <w:b/>
                <w:bCs/>
                <w:highlight w:val="green"/>
                <w:u w:val="single"/>
                <w:lang w:eastAsia="ja-JP"/>
              </w:rPr>
            </w:pPr>
            <w:r w:rsidRPr="00B744AA">
              <w:rPr>
                <w:b/>
                <w:bCs/>
                <w:highlight w:val="green"/>
                <w:u w:val="single"/>
                <w:lang w:eastAsia="ja-JP"/>
              </w:rPr>
              <w:t>Agreement:</w:t>
            </w:r>
          </w:p>
          <w:p w14:paraId="2BE0297B" w14:textId="77777777" w:rsidR="0099133A" w:rsidRPr="009F5560" w:rsidRDefault="0099133A" w:rsidP="0099133A">
            <w:pPr>
              <w:pStyle w:val="ListParagraph"/>
              <w:numPr>
                <w:ilvl w:val="0"/>
                <w:numId w:val="35"/>
              </w:numPr>
              <w:overflowPunct w:val="0"/>
              <w:autoSpaceDE w:val="0"/>
              <w:autoSpaceDN w:val="0"/>
              <w:adjustRightInd w:val="0"/>
              <w:spacing w:after="180" w:line="276" w:lineRule="auto"/>
              <w:contextualSpacing w:val="0"/>
              <w:textAlignment w:val="baseline"/>
              <w:rPr>
                <w:lang w:eastAsia="ja-JP"/>
              </w:rPr>
            </w:pPr>
            <w:r w:rsidRPr="009F5560">
              <w:rPr>
                <w:lang w:eastAsia="ja-JP"/>
              </w:rPr>
              <w:t>Define requirements on NTN to TN cell reselection.</w:t>
            </w:r>
          </w:p>
          <w:p w14:paraId="700A304E" w14:textId="77777777" w:rsidR="0099133A" w:rsidRDefault="0099133A" w:rsidP="0099133A">
            <w:pPr>
              <w:pStyle w:val="RAN4H3"/>
              <w:numPr>
                <w:ilvl w:val="0"/>
                <w:numId w:val="0"/>
              </w:numPr>
            </w:pPr>
          </w:p>
        </w:tc>
      </w:tr>
    </w:tbl>
    <w:p w14:paraId="436D826E" w14:textId="77777777" w:rsidR="0099133A" w:rsidRPr="0099133A" w:rsidRDefault="0099133A" w:rsidP="0099133A">
      <w:pPr>
        <w:pStyle w:val="RAN4H3"/>
        <w:numPr>
          <w:ilvl w:val="0"/>
          <w:numId w:val="0"/>
        </w:numPr>
      </w:pPr>
    </w:p>
    <w:p w14:paraId="3BEA0A49" w14:textId="5D0CDE15" w:rsidR="0099133A" w:rsidRPr="000F3DD5" w:rsidRDefault="0099133A" w:rsidP="0099133A">
      <w:pPr>
        <w:rPr>
          <w:lang w:eastAsia="ja-JP"/>
        </w:rPr>
      </w:pPr>
      <w:r>
        <w:t xml:space="preserve">It is also expected that TN and NTN </w:t>
      </w:r>
      <w:r w:rsidRPr="0099133A">
        <w:rPr>
          <w:b/>
          <w:bCs/>
          <w:u w:val="single"/>
        </w:rPr>
        <w:t>do not</w:t>
      </w:r>
      <w:r>
        <w:t xml:space="preserve"> coexist in the same frequency layer. Therefore, for a given SMTC associated to a terrestrial frequency layer, the UE is not expected to adjust its doppler pre-compensation for multiple different target cells from both TN and NTN layers, i.e., a TN frequency layer </w:t>
      </w:r>
      <w:proofErr w:type="gramStart"/>
      <w:r>
        <w:t>do</w:t>
      </w:r>
      <w:proofErr w:type="gramEnd"/>
      <w:r>
        <w:t xml:space="preserve"> not need multiple doppler adjustments, except for the “zero-doppler” assumption. Hence:</w:t>
      </w:r>
    </w:p>
    <w:p w14:paraId="1C995CC7" w14:textId="77777777" w:rsidR="0099133A" w:rsidRDefault="0099133A" w:rsidP="0099133A">
      <w:pPr>
        <w:pStyle w:val="RAN4proposal"/>
      </w:pPr>
      <w:bookmarkStart w:id="17" w:name="_Toc149937554"/>
      <w:bookmarkStart w:id="18" w:name="_Toc159273100"/>
      <w:r>
        <w:t>For the NTN to TN Cell Reselection Requirements, re-use the same requirements for inter-frequency cell reselection (</w:t>
      </w:r>
      <w:proofErr w:type="spellStart"/>
      <w:r>
        <w:t>T</w:t>
      </w:r>
      <w:r w:rsidRPr="008351AA">
        <w:rPr>
          <w:vertAlign w:val="subscript"/>
        </w:rPr>
        <w:t>measure</w:t>
      </w:r>
      <w:proofErr w:type="spellEnd"/>
      <w:r>
        <w:t xml:space="preserve">, </w:t>
      </w:r>
      <w:proofErr w:type="spellStart"/>
      <w:r>
        <w:t>T</w:t>
      </w:r>
      <w:r w:rsidRPr="008351AA">
        <w:rPr>
          <w:vertAlign w:val="subscript"/>
        </w:rPr>
        <w:t>detect</w:t>
      </w:r>
      <w:proofErr w:type="spellEnd"/>
      <w:r>
        <w:t xml:space="preserve">, </w:t>
      </w:r>
      <w:proofErr w:type="spellStart"/>
      <w:r>
        <w:t>T</w:t>
      </w:r>
      <w:r w:rsidRPr="008351AA">
        <w:rPr>
          <w:vertAlign w:val="subscript"/>
        </w:rPr>
        <w:t>measure</w:t>
      </w:r>
      <w:proofErr w:type="spellEnd"/>
      <w:r>
        <w:t xml:space="preserve">) used for NTN to NTN, with </w:t>
      </w:r>
      <w:proofErr w:type="spellStart"/>
      <w:r>
        <w:t>K_multi_SMTC</w:t>
      </w:r>
      <w:proofErr w:type="spellEnd"/>
      <w:r>
        <w:t xml:space="preserve"> =1.</w:t>
      </w:r>
      <w:bookmarkEnd w:id="17"/>
      <w:bookmarkEnd w:id="18"/>
    </w:p>
    <w:p w14:paraId="4288F1FE" w14:textId="77777777" w:rsidR="0099133A" w:rsidRDefault="0099133A" w:rsidP="0099133A">
      <w:pPr>
        <w:pStyle w:val="RAN4proposal"/>
      </w:pPr>
      <w:bookmarkStart w:id="19" w:name="_Toc149937555"/>
      <w:bookmarkStart w:id="20" w:name="_Toc159273101"/>
      <w:r>
        <w:t>Capture in specification that “When the UE is configured to measure a frequency layer associated to terrestrial cells, the measurement requirements are not applicable when the UE is provided with information about the TN coverage area and the UE is outside the coverage area”.</w:t>
      </w:r>
      <w:bookmarkEnd w:id="19"/>
      <w:bookmarkEnd w:id="20"/>
      <w:r>
        <w:t xml:space="preserve">  </w:t>
      </w:r>
    </w:p>
    <w:p w14:paraId="354A949F" w14:textId="77777777" w:rsidR="0099133A" w:rsidRDefault="0099133A" w:rsidP="0099133A"/>
    <w:p w14:paraId="38B837FE" w14:textId="77777777" w:rsidR="0099133A" w:rsidRPr="0099133A" w:rsidRDefault="0099133A" w:rsidP="0099133A"/>
    <w:p w14:paraId="40C05F7C" w14:textId="01671639" w:rsidR="0099133A" w:rsidRDefault="0099133A" w:rsidP="0099133A">
      <w:pPr>
        <w:pStyle w:val="RAN4H3"/>
      </w:pPr>
      <w:r>
        <w:t>TN to NTN coverage</w:t>
      </w:r>
    </w:p>
    <w:p w14:paraId="1AB883DA" w14:textId="77777777" w:rsidR="0099133A" w:rsidRDefault="0099133A" w:rsidP="0099133A"/>
    <w:p w14:paraId="33A70F39" w14:textId="232E6447" w:rsidR="0099133A" w:rsidRDefault="0099133A" w:rsidP="0099133A">
      <w:r>
        <w:t xml:space="preserve">Also in the previous meeting, RAN4 has agreed to incorporate TN to NTN coverage in the requirements </w:t>
      </w:r>
      <w:r>
        <w:fldChar w:fldCharType="begin"/>
      </w:r>
      <w:r>
        <w:instrText xml:space="preserve"> REF _Ref158818293 \n \h </w:instrText>
      </w:r>
      <w:r>
        <w:fldChar w:fldCharType="separate"/>
      </w:r>
      <w:r>
        <w:t>[6]</w:t>
      </w:r>
      <w:r>
        <w:fldChar w:fldCharType="end"/>
      </w:r>
      <w:r>
        <w:t>:</w:t>
      </w:r>
    </w:p>
    <w:tbl>
      <w:tblPr>
        <w:tblStyle w:val="TableGrid"/>
        <w:tblW w:w="0" w:type="auto"/>
        <w:tblLook w:val="04A0" w:firstRow="1" w:lastRow="0" w:firstColumn="1" w:lastColumn="0" w:noHBand="0" w:noVBand="1"/>
      </w:tblPr>
      <w:tblGrid>
        <w:gridCol w:w="9617"/>
      </w:tblGrid>
      <w:tr w:rsidR="0099133A" w14:paraId="7839F4F2" w14:textId="77777777" w:rsidTr="00CE6D0B">
        <w:tc>
          <w:tcPr>
            <w:tcW w:w="9617" w:type="dxa"/>
          </w:tcPr>
          <w:p w14:paraId="729CC03B" w14:textId="77777777" w:rsidR="0099133A" w:rsidRDefault="0099133A" w:rsidP="0099133A">
            <w:pPr>
              <w:outlineLvl w:val="2"/>
              <w:rPr>
                <w:b/>
                <w:u w:val="single"/>
                <w:lang w:eastAsia="ko-KR"/>
              </w:rPr>
            </w:pPr>
            <w:bookmarkStart w:id="21" w:name="_Hlk147849822"/>
            <w:r>
              <w:rPr>
                <w:b/>
                <w:u w:val="single"/>
                <w:lang w:eastAsia="ko-KR"/>
              </w:rPr>
              <w:t>Issue 4-1: TN to NTN cell reselection</w:t>
            </w:r>
          </w:p>
          <w:p w14:paraId="028789A1" w14:textId="77777777" w:rsidR="0099133A" w:rsidRPr="00B744AA" w:rsidRDefault="0099133A" w:rsidP="0099133A">
            <w:pPr>
              <w:spacing w:after="120" w:line="252" w:lineRule="auto"/>
              <w:ind w:firstLine="284"/>
              <w:rPr>
                <w:b/>
                <w:bCs/>
                <w:highlight w:val="green"/>
                <w:u w:val="single"/>
                <w:lang w:eastAsia="ja-JP"/>
              </w:rPr>
            </w:pPr>
            <w:bookmarkStart w:id="22" w:name="_Hlk151026905"/>
            <w:bookmarkEnd w:id="21"/>
            <w:r w:rsidRPr="00B744AA">
              <w:rPr>
                <w:b/>
                <w:bCs/>
                <w:highlight w:val="green"/>
                <w:u w:val="single"/>
                <w:lang w:eastAsia="ja-JP"/>
              </w:rPr>
              <w:t>Agreement:</w:t>
            </w:r>
          </w:p>
          <w:bookmarkEnd w:id="22"/>
          <w:p w14:paraId="24B79213" w14:textId="77777777" w:rsidR="0099133A" w:rsidRPr="009F5560" w:rsidRDefault="0099133A" w:rsidP="0099133A">
            <w:pPr>
              <w:pStyle w:val="ListParagraph"/>
              <w:numPr>
                <w:ilvl w:val="0"/>
                <w:numId w:val="35"/>
              </w:numPr>
              <w:overflowPunct w:val="0"/>
              <w:autoSpaceDE w:val="0"/>
              <w:autoSpaceDN w:val="0"/>
              <w:adjustRightInd w:val="0"/>
              <w:spacing w:after="180" w:line="276" w:lineRule="auto"/>
              <w:contextualSpacing w:val="0"/>
              <w:textAlignment w:val="baseline"/>
              <w:rPr>
                <w:lang w:eastAsia="ja-JP"/>
              </w:rPr>
            </w:pPr>
            <w:r w:rsidRPr="009F5560">
              <w:rPr>
                <w:lang w:eastAsia="ja-JP"/>
              </w:rPr>
              <w:t>Define requirements on TN to NTN cell reselection.</w:t>
            </w:r>
          </w:p>
          <w:p w14:paraId="316B994E" w14:textId="77777777" w:rsidR="0099133A" w:rsidRPr="009F5560" w:rsidRDefault="0099133A" w:rsidP="0099133A">
            <w:pPr>
              <w:pStyle w:val="ListParagraph"/>
              <w:numPr>
                <w:ilvl w:val="1"/>
                <w:numId w:val="35"/>
              </w:numPr>
              <w:overflowPunct w:val="0"/>
              <w:autoSpaceDE w:val="0"/>
              <w:autoSpaceDN w:val="0"/>
              <w:adjustRightInd w:val="0"/>
              <w:spacing w:after="180" w:line="276" w:lineRule="auto"/>
              <w:contextualSpacing w:val="0"/>
              <w:textAlignment w:val="baseline"/>
              <w:rPr>
                <w:lang w:eastAsia="ja-JP"/>
              </w:rPr>
            </w:pPr>
            <w:r w:rsidRPr="009F5560">
              <w:rPr>
                <w:lang w:eastAsia="ja-JP"/>
              </w:rPr>
              <w:t>Define core requirements for GNSS ON and GNSS switch OFF to ON, no test case.</w:t>
            </w:r>
          </w:p>
          <w:p w14:paraId="07E50AE0" w14:textId="77777777" w:rsidR="0099133A" w:rsidRPr="009F5560" w:rsidRDefault="0099133A" w:rsidP="0099133A">
            <w:pPr>
              <w:pStyle w:val="ListParagraph"/>
              <w:numPr>
                <w:ilvl w:val="1"/>
                <w:numId w:val="35"/>
              </w:numPr>
              <w:overflowPunct w:val="0"/>
              <w:autoSpaceDE w:val="0"/>
              <w:autoSpaceDN w:val="0"/>
              <w:adjustRightInd w:val="0"/>
              <w:spacing w:after="180" w:line="276" w:lineRule="auto"/>
              <w:contextualSpacing w:val="0"/>
              <w:textAlignment w:val="baseline"/>
              <w:rPr>
                <w:lang w:eastAsia="ja-JP"/>
              </w:rPr>
            </w:pPr>
            <w:r w:rsidRPr="009F5560">
              <w:rPr>
                <w:lang w:eastAsia="ja-JP"/>
              </w:rPr>
              <w:t>No specific value for the GNSS time to first fix to be define for the case of GNSS switch OFF to ON.</w:t>
            </w:r>
          </w:p>
          <w:p w14:paraId="39C93D1B" w14:textId="77777777" w:rsidR="0099133A" w:rsidRPr="00135158" w:rsidRDefault="0099133A" w:rsidP="00CE6D0B"/>
        </w:tc>
      </w:tr>
    </w:tbl>
    <w:p w14:paraId="4A042685" w14:textId="77777777" w:rsidR="0099133A" w:rsidRPr="0099133A" w:rsidRDefault="0099133A" w:rsidP="0099133A"/>
    <w:p w14:paraId="29ABB636" w14:textId="2DE0DFA7" w:rsidR="00DC6C10" w:rsidRDefault="00206F18" w:rsidP="005C23A4">
      <w:r>
        <w:t xml:space="preserve">The GNSS aspect is a relevant one, as it might interfere significantly with the total time to complete the “TN to NTN cell reselection” once the UE can only register in the target NTN cell upon acquiring UL synchronization. On the other hand, if the UE spends too much energy with unnecessary GNSS updates, then the UE battery might be drained in energy constrained scenarios. </w:t>
      </w:r>
    </w:p>
    <w:p w14:paraId="31537B7C" w14:textId="1EE48EE7" w:rsidR="006929B2" w:rsidRDefault="00DC6C10" w:rsidP="005C23A4">
      <w:r>
        <w:t xml:space="preserve">The question that arises is whether the GNSS is necessary only for acquiring the </w:t>
      </w:r>
      <w:proofErr w:type="spellStart"/>
      <w:r>
        <w:t>syncrhonization</w:t>
      </w:r>
      <w:proofErr w:type="spellEnd"/>
      <w:r>
        <w:t xml:space="preserve"> towards the target (NTN) cell or whether it is necessary also during the measurement procedures. Previous understanding in RAN4 was that, due to the doppler and time variation in NTN, the usage of satellite assistance information for NGSO measurements was paramount, such that the UE could apply the right doppler and SMTC corrections. </w:t>
      </w:r>
      <w:r w:rsidR="006929B2">
        <w:t xml:space="preserve">For GSO, the same precondition was not valid.  </w:t>
      </w:r>
    </w:p>
    <w:p w14:paraId="022F6595" w14:textId="437C9843" w:rsidR="00DC6C10" w:rsidRDefault="00DC6C10" w:rsidP="005C23A4">
      <w:r>
        <w:t>Therefore, if GNSS is necessary for the</w:t>
      </w:r>
      <w:r w:rsidR="006929B2">
        <w:t xml:space="preserve"> NGSO</w:t>
      </w:r>
      <w:r>
        <w:t xml:space="preserve"> measurements to be performed it needs to be switched on </w:t>
      </w:r>
      <w:r w:rsidR="006929B2">
        <w:t xml:space="preserve">when measurements are performed. We propose to make mandatory the UE to switch GNSS on when measuring a higher priority frequency layer in NTN or a lower priority layer after not finding other suitable cell for more than a given </w:t>
      </w:r>
      <w:proofErr w:type="gramStart"/>
      <w:r w:rsidR="006929B2">
        <w:t>period of time</w:t>
      </w:r>
      <w:proofErr w:type="gramEnd"/>
      <w:r>
        <w:t xml:space="preserve">. Hence, we propose: </w:t>
      </w:r>
    </w:p>
    <w:p w14:paraId="003298E9" w14:textId="6A74138E" w:rsidR="00DC6C10" w:rsidRDefault="00DC6C10" w:rsidP="00DC6C10">
      <w:pPr>
        <w:pStyle w:val="RAN4proposal"/>
      </w:pPr>
      <w:bookmarkStart w:id="23" w:name="_Toc159273102"/>
      <w:r>
        <w:t xml:space="preserve">In GSO scenarios, GNSS </w:t>
      </w:r>
      <w:r w:rsidR="00DB1709">
        <w:t>may</w:t>
      </w:r>
      <w:r>
        <w:t xml:space="preserve"> be off during </w:t>
      </w:r>
      <w:r w:rsidR="00DB1709">
        <w:t>measurement procedures for cell reselection,</w:t>
      </w:r>
      <w:r>
        <w:t xml:space="preserve"> and additional </w:t>
      </w:r>
      <w:r w:rsidR="00DB1709">
        <w:t xml:space="preserve">delay time is expected due to GNSS switch-on after the UE reselects to </w:t>
      </w:r>
      <w:proofErr w:type="gramStart"/>
      <w:r w:rsidR="00DB1709">
        <w:t>a</w:t>
      </w:r>
      <w:proofErr w:type="gramEnd"/>
      <w:r w:rsidR="00DB1709">
        <w:t xml:space="preserve"> NTN cell.</w:t>
      </w:r>
      <w:bookmarkEnd w:id="23"/>
      <w:r w:rsidR="00DB1709">
        <w:t xml:space="preserve"> </w:t>
      </w:r>
    </w:p>
    <w:p w14:paraId="2636BA5C" w14:textId="0F0DD5A1" w:rsidR="00DB1709" w:rsidRDefault="00DB1709" w:rsidP="00DB1709">
      <w:pPr>
        <w:pStyle w:val="RAN4proposal"/>
      </w:pPr>
      <w:bookmarkStart w:id="24" w:name="_Toc159273103"/>
      <w:r>
        <w:t xml:space="preserve">In NGSO scenarios, GNSS shall be on during measurement procedures for cell reselection, if the NTN capable UE is configured to measure </w:t>
      </w:r>
      <w:proofErr w:type="gramStart"/>
      <w:r>
        <w:t>a</w:t>
      </w:r>
      <w:proofErr w:type="gramEnd"/>
      <w:r>
        <w:t xml:space="preserve"> NTN frequency layer with high</w:t>
      </w:r>
      <w:r w:rsidR="006929B2">
        <w:t>er</w:t>
      </w:r>
      <w:r>
        <w:t xml:space="preserve"> priority.</w:t>
      </w:r>
      <w:bookmarkEnd w:id="24"/>
      <w:r>
        <w:t xml:space="preserve"> </w:t>
      </w:r>
    </w:p>
    <w:p w14:paraId="60D1071C" w14:textId="2A7FC2E1" w:rsidR="006929B2" w:rsidRDefault="006929B2" w:rsidP="006929B2">
      <w:pPr>
        <w:pStyle w:val="RAN4proposal"/>
      </w:pPr>
      <w:bookmarkStart w:id="25" w:name="_Toc159273104"/>
      <w:r>
        <w:t>In NGSO scenarios, GNSS may be off during measurement procedures for cell reselection if the NTN capable UE is configured with all NTN frequencies with lower or equal priority as terrestrial frequency layers. If the UE cannot find a suitable terrestrial cell within [T] seconds, GNSS shall be turned on to measure on NTN frequency layers.</w:t>
      </w:r>
      <w:bookmarkEnd w:id="25"/>
      <w:r>
        <w:t xml:space="preserve"> </w:t>
      </w:r>
    </w:p>
    <w:p w14:paraId="5109365D" w14:textId="77777777" w:rsidR="006929B2" w:rsidRPr="006929B2" w:rsidRDefault="006929B2" w:rsidP="006929B2"/>
    <w:p w14:paraId="1F64309E" w14:textId="58F90322" w:rsidR="00DC6C10" w:rsidRDefault="006929B2" w:rsidP="005C23A4">
      <w:r>
        <w:t xml:space="preserve">For TN to NTN cell reselection, further considerations are </w:t>
      </w:r>
      <w:r w:rsidR="001700D9">
        <w:t xml:space="preserve">needed, in terms of number of satellites to be measured, as in NTN-NTN cell reselection for NGSO, the cell reselection delay times are enlarged when the UE needs to measure cells associate to more than one satellite. It needs to be discussed if this scenario is also applicable to TN-to-NTN cell reselection. </w:t>
      </w:r>
    </w:p>
    <w:p w14:paraId="7C97EF21" w14:textId="2346FA9D" w:rsidR="006929B2" w:rsidRDefault="006929B2" w:rsidP="006929B2">
      <w:pPr>
        <w:pStyle w:val="RAN4proposal"/>
      </w:pPr>
      <w:bookmarkStart w:id="26" w:name="_Toc159273105"/>
      <w:r>
        <w:t xml:space="preserve">RAN4 to discuss whether the number of </w:t>
      </w:r>
      <w:proofErr w:type="spellStart"/>
      <w:r>
        <w:t>neighbor</w:t>
      </w:r>
      <w:proofErr w:type="spellEnd"/>
      <w:r>
        <w:t xml:space="preserve"> satellites to be measured in a NGSO NTN layer shall be limited to 1.</w:t>
      </w:r>
      <w:bookmarkEnd w:id="26"/>
      <w:r>
        <w:t xml:space="preserve"> </w:t>
      </w:r>
    </w:p>
    <w:p w14:paraId="7B03234A" w14:textId="2DBB150F" w:rsidR="006929B2" w:rsidRDefault="001700D9" w:rsidP="006929B2">
      <w:r>
        <w:t>And in terms of specification editorial decision, we also have some considerations, as there’s a discussion about which subclause should be used to capture the TN-to-NTN cell reselection. In principle we understand that clause 4.2C applies for UEs already camped in NTN cells, whereas clause 4.2 applies to UEs camped in terrestrial cell. Based on this, we propose:</w:t>
      </w:r>
    </w:p>
    <w:p w14:paraId="5AE00665" w14:textId="67DBA092" w:rsidR="001700D9" w:rsidRPr="006929B2" w:rsidRDefault="001700D9" w:rsidP="001700D9">
      <w:pPr>
        <w:pStyle w:val="RAN4proposal"/>
      </w:pPr>
      <w:bookmarkStart w:id="27" w:name="_Toc159273106"/>
      <w:r>
        <w:t xml:space="preserve">RAN4 to capture requirements for TN-to-NTN cell reselection in IDLE mode in a new subclause </w:t>
      </w:r>
      <w:r w:rsidR="006E15EB">
        <w:t xml:space="preserve">under clause </w:t>
      </w:r>
      <w:proofErr w:type="gramStart"/>
      <w:r w:rsidR="006E15EB">
        <w:t>4.2</w:t>
      </w:r>
      <w:bookmarkEnd w:id="27"/>
      <w:proofErr w:type="gramEnd"/>
    </w:p>
    <w:p w14:paraId="57BDD153" w14:textId="77777777" w:rsidR="00DC6C10" w:rsidRDefault="00DC6C10" w:rsidP="005C23A4"/>
    <w:p w14:paraId="11F51C7B" w14:textId="77777777" w:rsidR="006E15EB" w:rsidRDefault="006E15EB" w:rsidP="005C23A4"/>
    <w:p w14:paraId="2B82D4F4" w14:textId="77777777" w:rsidR="00DC6C10" w:rsidRDefault="00DC6C10" w:rsidP="005C23A4"/>
    <w:p w14:paraId="7DBF56C9" w14:textId="77777777" w:rsidR="00DD48AC" w:rsidRDefault="00DD48AC" w:rsidP="00DD48AC">
      <w:pPr>
        <w:pStyle w:val="RAN4H2"/>
      </w:pPr>
      <w:r>
        <w:t>Cell Reselection and Idle mode mobility</w:t>
      </w:r>
    </w:p>
    <w:p w14:paraId="5FD6E395" w14:textId="69E86E73" w:rsidR="00DD48AC" w:rsidRDefault="00DD48AC" w:rsidP="00DD48AC">
      <w:r>
        <w:t xml:space="preserve">Recently, RAN2 has agreed that time and location conditional triggers can be configured independently, i.e., without any other radio conditions associated to the trigger. This will require that RAN4 requirements are updated to deal with </w:t>
      </w:r>
      <w:proofErr w:type="gramStart"/>
      <w:r>
        <w:t>this new potential scenarios</w:t>
      </w:r>
      <w:proofErr w:type="gramEnd"/>
      <w:r>
        <w:t xml:space="preserve">. </w:t>
      </w:r>
    </w:p>
    <w:tbl>
      <w:tblPr>
        <w:tblStyle w:val="TableGrid"/>
        <w:tblW w:w="0" w:type="auto"/>
        <w:tblLook w:val="04A0" w:firstRow="1" w:lastRow="0" w:firstColumn="1" w:lastColumn="0" w:noHBand="0" w:noVBand="1"/>
      </w:tblPr>
      <w:tblGrid>
        <w:gridCol w:w="9617"/>
      </w:tblGrid>
      <w:tr w:rsidR="00DD48AC" w14:paraId="5CD2E1F9" w14:textId="77777777" w:rsidTr="00CE6D0B">
        <w:tc>
          <w:tcPr>
            <w:tcW w:w="9617" w:type="dxa"/>
          </w:tcPr>
          <w:p w14:paraId="51E5C197" w14:textId="77777777" w:rsidR="00DD48AC" w:rsidRDefault="00DD48AC" w:rsidP="00CE6D0B">
            <w:r>
              <w:t>Agreement (RAN2 #123):</w:t>
            </w:r>
          </w:p>
          <w:p w14:paraId="76409E5C" w14:textId="77777777" w:rsidR="00DD48AC" w:rsidRDefault="00DD48AC" w:rsidP="00CE6D0B">
            <w:r>
              <w:t>6. For CHO in NTN (both NR NTN and eMTC NTN, time and location-based trigger conditions may be configured independently (i.e., without a jointly configured measurement condition). We add a description/note saying in which scenarios this is reasonable, e.g. at least hard-switch case where gap is assumed to be zero/</w:t>
            </w:r>
            <w:proofErr w:type="gramStart"/>
            <w:r>
              <w:t>negligible</w:t>
            </w:r>
            <w:proofErr w:type="gramEnd"/>
          </w:p>
          <w:p w14:paraId="28082DD4" w14:textId="77777777" w:rsidR="00DD48AC" w:rsidRDefault="00DD48AC" w:rsidP="00CE6D0B"/>
        </w:tc>
      </w:tr>
    </w:tbl>
    <w:p w14:paraId="213403FF" w14:textId="77777777" w:rsidR="00DD48AC" w:rsidRDefault="00DD48AC" w:rsidP="00DD48AC">
      <w:pPr>
        <w:pStyle w:val="RAN4proposal"/>
        <w:numPr>
          <w:ilvl w:val="0"/>
          <w:numId w:val="0"/>
        </w:numPr>
      </w:pPr>
    </w:p>
    <w:p w14:paraId="638A0EBF" w14:textId="77777777" w:rsidR="00DD48AC" w:rsidRDefault="00DD48AC" w:rsidP="00DD48AC">
      <w:r>
        <w:t>The new CHO in the absence of additional radio related triggers, might cause a situation where a condition is met (either time or location trigger) for a cell that is not known by the UE (i.e. it has not been measured/detected for the past 5 seconds). In this case, the interruption time for CHO needs to be updated to include the search time in the case of Blind CHO.</w:t>
      </w:r>
    </w:p>
    <w:p w14:paraId="6500037D" w14:textId="06F2ED32" w:rsidR="001D270C" w:rsidRDefault="001D270C" w:rsidP="00DD48AC">
      <w:r>
        <w:t>Based on this, RAN4 should ratify and transform in agreement the FFS from the previous meeting:</w:t>
      </w:r>
    </w:p>
    <w:tbl>
      <w:tblPr>
        <w:tblStyle w:val="TableGrid"/>
        <w:tblW w:w="0" w:type="auto"/>
        <w:tblLook w:val="04A0" w:firstRow="1" w:lastRow="0" w:firstColumn="1" w:lastColumn="0" w:noHBand="0" w:noVBand="1"/>
      </w:tblPr>
      <w:tblGrid>
        <w:gridCol w:w="9617"/>
      </w:tblGrid>
      <w:tr w:rsidR="001D270C" w14:paraId="5524F167" w14:textId="77777777" w:rsidTr="001D270C">
        <w:tc>
          <w:tcPr>
            <w:tcW w:w="9617" w:type="dxa"/>
          </w:tcPr>
          <w:p w14:paraId="054DD55D" w14:textId="77777777" w:rsidR="001D270C" w:rsidRDefault="001D270C" w:rsidP="001D270C">
            <w:pPr>
              <w:outlineLvl w:val="2"/>
              <w:rPr>
                <w:b/>
                <w:u w:val="single"/>
                <w:lang w:eastAsia="ko-KR"/>
              </w:rPr>
            </w:pPr>
            <w:r>
              <w:rPr>
                <w:b/>
                <w:u w:val="single"/>
                <w:lang w:eastAsia="ko-KR"/>
              </w:rPr>
              <w:t>Issue 5-3: NTN to NTN time and location-based trigger CHO enhancements</w:t>
            </w:r>
          </w:p>
          <w:p w14:paraId="15FEF534" w14:textId="77777777" w:rsidR="001D270C" w:rsidRPr="003309DD" w:rsidRDefault="001D270C" w:rsidP="001D270C">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71118A01" w14:textId="77777777" w:rsidR="001D270C" w:rsidRPr="00B25B0B" w:rsidRDefault="001D270C" w:rsidP="001D270C">
            <w:pPr>
              <w:pStyle w:val="ListParagraph"/>
              <w:numPr>
                <w:ilvl w:val="0"/>
                <w:numId w:val="36"/>
              </w:numPr>
              <w:overflowPunct w:val="0"/>
              <w:autoSpaceDE w:val="0"/>
              <w:autoSpaceDN w:val="0"/>
              <w:adjustRightInd w:val="0"/>
              <w:spacing w:after="180" w:line="276" w:lineRule="auto"/>
              <w:ind w:left="644"/>
              <w:contextualSpacing w:val="0"/>
              <w:textAlignment w:val="baseline"/>
              <w:rPr>
                <w:lang w:eastAsia="ja-JP"/>
              </w:rPr>
            </w:pPr>
            <w:r w:rsidRPr="00B25B0B">
              <w:rPr>
                <w:lang w:eastAsia="ja-JP"/>
              </w:rPr>
              <w:t xml:space="preserve">The existing conditional CHO requirement defined in 6.1C.2.2 (DCHO = TRRC + </w:t>
            </w:r>
            <w:proofErr w:type="spellStart"/>
            <w:r w:rsidRPr="00B25B0B">
              <w:rPr>
                <w:lang w:eastAsia="ja-JP"/>
              </w:rPr>
              <w:t>TEvent_DU</w:t>
            </w:r>
            <w:proofErr w:type="spellEnd"/>
            <w:r w:rsidRPr="00B25B0B">
              <w:rPr>
                <w:lang w:eastAsia="ja-JP"/>
              </w:rPr>
              <w:t xml:space="preserve"> + </w:t>
            </w:r>
            <w:proofErr w:type="spellStart"/>
            <w:r w:rsidRPr="00B25B0B">
              <w:rPr>
                <w:lang w:eastAsia="ja-JP"/>
              </w:rPr>
              <w:t>Tmeasure</w:t>
            </w:r>
            <w:proofErr w:type="spellEnd"/>
            <w:r w:rsidRPr="00B25B0B">
              <w:rPr>
                <w:lang w:eastAsia="ja-JP"/>
              </w:rPr>
              <w:t xml:space="preserve"> +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TCHO_execution</w:t>
            </w:r>
            <w:proofErr w:type="spellEnd"/>
            <w:r w:rsidRPr="00B25B0B">
              <w:rPr>
                <w:lang w:eastAsia="ja-JP"/>
              </w:rPr>
              <w:t xml:space="preserve">,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Tprocessing</w:t>
            </w:r>
            <w:proofErr w:type="spellEnd"/>
            <w:r w:rsidRPr="00B25B0B">
              <w:rPr>
                <w:lang w:eastAsia="ja-JP"/>
              </w:rPr>
              <w:t xml:space="preserve"> + TIU + T∆ + </w:t>
            </w:r>
            <w:proofErr w:type="spellStart"/>
            <w:r w:rsidRPr="00B25B0B">
              <w:rPr>
                <w:lang w:eastAsia="ja-JP"/>
              </w:rPr>
              <w:t>Tmargin</w:t>
            </w:r>
            <w:proofErr w:type="spellEnd"/>
            <w:r w:rsidRPr="00B25B0B">
              <w:rPr>
                <w:lang w:eastAsia="ja-JP"/>
              </w:rPr>
              <w:t>) is reused with the following updates:</w:t>
            </w:r>
          </w:p>
          <w:p w14:paraId="48E83875" w14:textId="77777777" w:rsidR="001D270C" w:rsidRPr="00B25B0B" w:rsidRDefault="001D270C" w:rsidP="001D270C">
            <w:pPr>
              <w:pStyle w:val="ListParagraph"/>
              <w:numPr>
                <w:ilvl w:val="1"/>
                <w:numId w:val="36"/>
              </w:numPr>
              <w:overflowPunct w:val="0"/>
              <w:autoSpaceDE w:val="0"/>
              <w:autoSpaceDN w:val="0"/>
              <w:adjustRightInd w:val="0"/>
              <w:spacing w:after="180" w:line="276" w:lineRule="auto"/>
              <w:ind w:left="1364"/>
              <w:contextualSpacing w:val="0"/>
              <w:textAlignment w:val="baseline"/>
              <w:rPr>
                <w:lang w:eastAsia="ja-JP"/>
              </w:rPr>
            </w:pPr>
            <w:proofErr w:type="spellStart"/>
            <w:r w:rsidRPr="00B25B0B">
              <w:rPr>
                <w:lang w:eastAsia="ja-JP"/>
              </w:rPr>
              <w:t>TEvent_DU</w:t>
            </w:r>
            <w:proofErr w:type="spellEnd"/>
            <w:r w:rsidRPr="00B25B0B">
              <w:rPr>
                <w:lang w:eastAsia="ja-JP"/>
              </w:rPr>
              <w:t xml:space="preserve"> is the delay uncertainty which is the time from when the UE successfully decodes a conditional handover command until the time or location condition is fulfilled.</w:t>
            </w:r>
          </w:p>
          <w:p w14:paraId="0FCAB028" w14:textId="77777777" w:rsidR="001D270C" w:rsidRPr="00B25B0B" w:rsidRDefault="001D270C" w:rsidP="001D270C">
            <w:pPr>
              <w:pStyle w:val="ListParagraph"/>
              <w:numPr>
                <w:ilvl w:val="1"/>
                <w:numId w:val="36"/>
              </w:numPr>
              <w:overflowPunct w:val="0"/>
              <w:autoSpaceDE w:val="0"/>
              <w:autoSpaceDN w:val="0"/>
              <w:adjustRightInd w:val="0"/>
              <w:spacing w:after="180" w:line="276" w:lineRule="auto"/>
              <w:ind w:left="1364"/>
              <w:contextualSpacing w:val="0"/>
              <w:textAlignment w:val="baseline"/>
              <w:rPr>
                <w:lang w:eastAsia="ja-JP"/>
              </w:rPr>
            </w:pPr>
            <w:r w:rsidRPr="00B25B0B">
              <w:rPr>
                <w:lang w:eastAsia="ja-JP"/>
              </w:rPr>
              <w:t xml:space="preserve">Remove </w:t>
            </w:r>
            <w:proofErr w:type="spellStart"/>
            <w:r w:rsidRPr="00B25B0B">
              <w:rPr>
                <w:lang w:eastAsia="ja-JP"/>
              </w:rPr>
              <w:t>Tmeasure</w:t>
            </w:r>
            <w:proofErr w:type="spellEnd"/>
          </w:p>
          <w:p w14:paraId="6DD4A53A" w14:textId="77777777" w:rsidR="001D270C" w:rsidRPr="00B25B0B" w:rsidRDefault="001D270C" w:rsidP="001D270C">
            <w:pPr>
              <w:pStyle w:val="ListParagraph"/>
              <w:numPr>
                <w:ilvl w:val="1"/>
                <w:numId w:val="36"/>
              </w:numPr>
              <w:overflowPunct w:val="0"/>
              <w:autoSpaceDE w:val="0"/>
              <w:autoSpaceDN w:val="0"/>
              <w:adjustRightInd w:val="0"/>
              <w:spacing w:after="180" w:line="276" w:lineRule="auto"/>
              <w:ind w:left="1364"/>
              <w:contextualSpacing w:val="0"/>
              <w:textAlignment w:val="baseline"/>
              <w:rPr>
                <w:lang w:eastAsia="ja-JP"/>
              </w:rPr>
            </w:pPr>
            <w:r w:rsidRPr="00B25B0B">
              <w:rPr>
                <w:lang w:eastAsia="ja-JP"/>
              </w:rPr>
              <w:t xml:space="preserve">Add </w:t>
            </w:r>
            <w:proofErr w:type="spellStart"/>
            <w:r w:rsidRPr="00B25B0B">
              <w:rPr>
                <w:lang w:eastAsia="ja-JP"/>
              </w:rPr>
              <w:t>Tsearch</w:t>
            </w:r>
            <w:proofErr w:type="spellEnd"/>
            <w:r w:rsidRPr="00B25B0B">
              <w:rPr>
                <w:lang w:eastAsia="ja-JP"/>
              </w:rPr>
              <w:t xml:space="preserve"> to </w:t>
            </w:r>
            <w:proofErr w:type="spellStart"/>
            <w:r w:rsidRPr="00B25B0B">
              <w:rPr>
                <w:lang w:eastAsia="ja-JP"/>
              </w:rPr>
              <w:t>Tinterrupt</w:t>
            </w:r>
            <w:proofErr w:type="spellEnd"/>
            <w:r w:rsidRPr="00B25B0B">
              <w:rPr>
                <w:lang w:eastAsia="ja-JP"/>
              </w:rPr>
              <w:t xml:space="preserve">, i.e.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Tprocessing</w:t>
            </w:r>
            <w:proofErr w:type="spellEnd"/>
            <w:r w:rsidRPr="00B25B0B">
              <w:rPr>
                <w:lang w:eastAsia="ja-JP"/>
              </w:rPr>
              <w:t xml:space="preserve"> + TIU + T∆ + </w:t>
            </w:r>
            <w:proofErr w:type="spellStart"/>
            <w:r w:rsidRPr="00B25B0B">
              <w:rPr>
                <w:lang w:eastAsia="ja-JP"/>
              </w:rPr>
              <w:t>Tmargin</w:t>
            </w:r>
            <w:proofErr w:type="spellEnd"/>
            <w:r w:rsidRPr="00B25B0B">
              <w:rPr>
                <w:lang w:eastAsia="ja-JP"/>
              </w:rPr>
              <w:t xml:space="preserve">+ </w:t>
            </w:r>
            <w:proofErr w:type="spellStart"/>
            <w:r w:rsidRPr="00B25B0B">
              <w:rPr>
                <w:lang w:eastAsia="ja-JP"/>
              </w:rPr>
              <w:t>Tsearch</w:t>
            </w:r>
            <w:proofErr w:type="spellEnd"/>
            <w:r w:rsidRPr="00B25B0B">
              <w:rPr>
                <w:lang w:eastAsia="ja-JP"/>
              </w:rPr>
              <w:t xml:space="preserve">, and the definition of </w:t>
            </w:r>
            <w:proofErr w:type="spellStart"/>
            <w:r w:rsidRPr="00B25B0B">
              <w:rPr>
                <w:lang w:eastAsia="ja-JP"/>
              </w:rPr>
              <w:t>Tseach</w:t>
            </w:r>
            <w:proofErr w:type="spellEnd"/>
            <w:r w:rsidRPr="00B25B0B">
              <w:rPr>
                <w:lang w:eastAsia="ja-JP"/>
              </w:rPr>
              <w:t xml:space="preserve"> is the same as the existing one defined in 6.1C.2.2.</w:t>
            </w:r>
          </w:p>
          <w:p w14:paraId="7AB0366D" w14:textId="77777777" w:rsidR="001D270C" w:rsidRDefault="001D270C" w:rsidP="00DD48AC"/>
        </w:tc>
      </w:tr>
    </w:tbl>
    <w:p w14:paraId="1167E7E6" w14:textId="77777777" w:rsidR="001D270C" w:rsidRPr="001A633C" w:rsidRDefault="001D270C" w:rsidP="00DD48AC"/>
    <w:p w14:paraId="6B551052" w14:textId="4264AFAB" w:rsidR="00206F18" w:rsidRDefault="00206F18" w:rsidP="005C23A4"/>
    <w:p w14:paraId="215672C2" w14:textId="3046AAEB" w:rsidR="00DE6F3C" w:rsidRDefault="001D270C" w:rsidP="001D270C">
      <w:pPr>
        <w:pStyle w:val="RAN4proposal"/>
      </w:pPr>
      <w:bookmarkStart w:id="28" w:name="_Toc159273107"/>
      <w:r>
        <w:t xml:space="preserve">RAN4 to agree on the FFS proposed in Issue 5-3 of the Way-Forward, </w:t>
      </w:r>
      <w:r w:rsidRPr="001D270C">
        <w:t>R4-2321362</w:t>
      </w:r>
      <w:r>
        <w:t>.</w:t>
      </w:r>
      <w:bookmarkEnd w:id="28"/>
    </w:p>
    <w:p w14:paraId="127C6C06" w14:textId="77777777" w:rsidR="008579F2" w:rsidRPr="00381F95" w:rsidRDefault="008579F2" w:rsidP="005C23A4"/>
    <w:p w14:paraId="3F90AECA" w14:textId="6BC8EA83" w:rsidR="00893D2E" w:rsidRPr="00381F95" w:rsidRDefault="00893D2E">
      <w:pPr>
        <w:rPr>
          <w:rFonts w:ascii="Arial" w:eastAsia="SimSun" w:hAnsi="Arial" w:cs="Times New Roman"/>
          <w:sz w:val="36"/>
          <w:szCs w:val="20"/>
        </w:rPr>
      </w:pPr>
      <w:bookmarkStart w:id="29" w:name="_Toc116995848"/>
    </w:p>
    <w:p w14:paraId="2C8E5227" w14:textId="77777777" w:rsidR="00CD7492" w:rsidRPr="00381F95" w:rsidRDefault="00CD7492" w:rsidP="00A37002">
      <w:pPr>
        <w:pStyle w:val="RAN4H1"/>
      </w:pPr>
      <w:r w:rsidRPr="00381F95">
        <w:t>Conclusion</w:t>
      </w:r>
      <w:bookmarkEnd w:id="29"/>
    </w:p>
    <w:p w14:paraId="6AF262AE" w14:textId="310BD1A7" w:rsidR="00381F95" w:rsidRDefault="000065F4" w:rsidP="00936159">
      <w:r>
        <w:t>In this paper, we discuss several aspects of UE mobility in NTN and the following observations and proposals were made:</w:t>
      </w:r>
    </w:p>
    <w:p w14:paraId="040B9702" w14:textId="77777777" w:rsidR="000065F4" w:rsidRPr="00381F95" w:rsidRDefault="000065F4" w:rsidP="00936159"/>
    <w:p w14:paraId="6FC0961C" w14:textId="77777777" w:rsidR="00381F95" w:rsidRPr="00381F95" w:rsidRDefault="00381F95" w:rsidP="00936159"/>
    <w:p w14:paraId="4A4B9566" w14:textId="77777777" w:rsidR="00381F95" w:rsidRPr="00381F95" w:rsidRDefault="00381F95" w:rsidP="00936159">
      <w:r w:rsidRPr="00381F95">
        <w:t>T</w:t>
      </w:r>
      <w:r w:rsidR="005B4801" w:rsidRPr="00381F95">
        <w:t xml:space="preserve">he following Observations </w:t>
      </w:r>
      <w:r w:rsidR="008B0961" w:rsidRPr="00381F95">
        <w:t>and</w:t>
      </w:r>
      <w:r w:rsidR="005B4801" w:rsidRPr="00381F95">
        <w:t xml:space="preserve"> Proposals were made:</w:t>
      </w:r>
    </w:p>
    <w:bookmarkStart w:id="30" w:name="_Toc116995849"/>
    <w:p w14:paraId="64152AB3" w14:textId="30CA6854" w:rsidR="00A8046E" w:rsidRDefault="000065F4">
      <w:pPr>
        <w:pStyle w:val="TOC1"/>
        <w:rPr>
          <w:rFonts w:asciiTheme="minorHAnsi" w:eastAsiaTheme="minorEastAsia" w:hAnsiTheme="minorHAnsi"/>
          <w:b w:val="0"/>
          <w:iCs w:val="0"/>
          <w:kern w:val="2"/>
          <w:sz w:val="22"/>
          <w:lang w:eastAsia="en-GB"/>
          <w14:ligatures w14:val="standardContextual"/>
        </w:rPr>
      </w:pPr>
      <w:r>
        <w:rPr>
          <w:i/>
          <w:iCs w:val="0"/>
          <w:u w:val="single"/>
        </w:rPr>
        <w:fldChar w:fldCharType="begin"/>
      </w:r>
      <w:r>
        <w:rPr>
          <w:i/>
          <w:iCs w:val="0"/>
          <w:u w:val="single"/>
        </w:rPr>
        <w:instrText xml:space="preserve"> TOC \n \h \z \t "RAN4 proposal;1;RAN4 observation;1" </w:instrText>
      </w:r>
      <w:r>
        <w:rPr>
          <w:i/>
          <w:iCs w:val="0"/>
          <w:u w:val="single"/>
        </w:rPr>
        <w:fldChar w:fldCharType="separate"/>
      </w:r>
      <w:hyperlink w:anchor="_Toc159273088" w:history="1">
        <w:r w:rsidR="00A8046E" w:rsidRPr="00F65D3F">
          <w:rPr>
            <w:rStyle w:val="Hyperlink"/>
          </w:rPr>
          <w:t>Observation 3: Depending on the difference in power between source and target satellite, the destructive interference caused by the DL payload from either source or target satellite might make the SSB data from the other satellite not decodable at the UE side.</w:t>
        </w:r>
      </w:hyperlink>
    </w:p>
    <w:p w14:paraId="1B13EFC5" w14:textId="0D8105B2"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089" w:history="1">
        <w:r w:rsidRPr="00F65D3F">
          <w:rPr>
            <w:rStyle w:val="Hyperlink"/>
            <w:lang w:val="en-US"/>
          </w:rPr>
          <w:t>Observation 4: If the UE is configured with a different SMTC for the target satellite, but cannot adjust the SMTC window due to the propagation delay difference, the NW cannot guarantee that the SMTC opportunities will coincide with the SSB reception by the UE.</w:t>
        </w:r>
      </w:hyperlink>
    </w:p>
    <w:p w14:paraId="66E20AC4" w14:textId="6502F63E"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090" w:history="1">
        <w:r w:rsidRPr="00F65D3F">
          <w:rPr>
            <w:rStyle w:val="Hyperlink"/>
            <w:lang w:val="en-US"/>
          </w:rPr>
          <w:t xml:space="preserve">Observation 5: If the UE can adjust the SMTC opportunity to measure the target satellite due to the propagation delay difference, then if the UE does not support </w:t>
        </w:r>
        <w:r w:rsidRPr="00F65D3F">
          <w:rPr>
            <w:rStyle w:val="Hyperlink"/>
          </w:rPr>
          <w:t>p</w:t>
        </w:r>
        <w:r w:rsidRPr="00F65D3F">
          <w:rPr>
            <w:rStyle w:val="Hyperlink"/>
            <w:i/>
          </w:rPr>
          <w:t>arallelMeasurementWithoutRestriction-r17</w:t>
        </w:r>
        <w:r w:rsidRPr="00F65D3F">
          <w:rPr>
            <w:rStyle w:val="Hyperlink"/>
            <w:bCs/>
          </w:rPr>
          <w:t>, this UE has to be considered to be in scheduling restrictions for the whole duration of the soft-switch window.</w:t>
        </w:r>
      </w:hyperlink>
    </w:p>
    <w:p w14:paraId="08C3F5DF" w14:textId="4671844F"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091" w:history="1">
        <w:r w:rsidRPr="00F65D3F">
          <w:rPr>
            <w:rStyle w:val="Hyperlink"/>
          </w:rPr>
          <w:t>Based on this discussion we propose:</w:t>
        </w:r>
      </w:hyperlink>
    </w:p>
    <w:p w14:paraId="60BC185E" w14:textId="356C83B6"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092" w:history="1">
        <w:r w:rsidRPr="00F65D3F">
          <w:rPr>
            <w:rStyle w:val="Hyperlink"/>
          </w:rPr>
          <w:t>Proposal 1: Include the following observations on the LS reply to RAN 2:</w:t>
        </w:r>
      </w:hyperlink>
    </w:p>
    <w:p w14:paraId="2AFFBC5F" w14:textId="3A70B95B" w:rsidR="00A8046E" w:rsidRDefault="00A8046E">
      <w:pPr>
        <w:pStyle w:val="TOC1"/>
        <w:tabs>
          <w:tab w:val="left" w:pos="400"/>
        </w:tabs>
        <w:rPr>
          <w:rFonts w:asciiTheme="minorHAnsi" w:eastAsiaTheme="minorEastAsia" w:hAnsiTheme="minorHAnsi"/>
          <w:b w:val="0"/>
          <w:iCs w:val="0"/>
          <w:kern w:val="2"/>
          <w:sz w:val="22"/>
          <w:lang w:eastAsia="en-GB"/>
          <w14:ligatures w14:val="standardContextual"/>
        </w:rPr>
      </w:pPr>
      <w:hyperlink w:anchor="_Toc159273093" w:history="1">
        <w:r w:rsidRPr="00F65D3F">
          <w:rPr>
            <w:rStyle w:val="Hyperlink"/>
          </w:rPr>
          <w:t>a.</w:t>
        </w:r>
        <w:r>
          <w:rPr>
            <w:rFonts w:asciiTheme="minorHAnsi" w:eastAsiaTheme="minorEastAsia" w:hAnsiTheme="minorHAnsi"/>
            <w:b w:val="0"/>
            <w:iCs w:val="0"/>
            <w:kern w:val="2"/>
            <w:sz w:val="22"/>
            <w:lang w:eastAsia="en-GB"/>
            <w14:ligatures w14:val="standardContextual"/>
          </w:rPr>
          <w:tab/>
        </w:r>
        <w:r w:rsidRPr="00F65D3F">
          <w:rPr>
            <w:rStyle w:val="Hyperlink"/>
          </w:rPr>
          <w:t>For NGSO, it is possible to guarantee that a proper offset can be set in any scenario to avoid overlap between SSBs.  For GSO, it is not always possible to guarantee non overlapping SSB at UE reception in every scenario simply based on offset, but it might not be as relevant as a scenario.</w:t>
        </w:r>
      </w:hyperlink>
    </w:p>
    <w:p w14:paraId="2FEA4368" w14:textId="03DC7B46" w:rsidR="00A8046E" w:rsidRDefault="00A8046E">
      <w:pPr>
        <w:pStyle w:val="TOC1"/>
        <w:tabs>
          <w:tab w:val="left" w:pos="400"/>
        </w:tabs>
        <w:rPr>
          <w:rFonts w:asciiTheme="minorHAnsi" w:eastAsiaTheme="minorEastAsia" w:hAnsiTheme="minorHAnsi"/>
          <w:b w:val="0"/>
          <w:iCs w:val="0"/>
          <w:kern w:val="2"/>
          <w:sz w:val="22"/>
          <w:lang w:eastAsia="en-GB"/>
          <w14:ligatures w14:val="standardContextual"/>
        </w:rPr>
      </w:pPr>
      <w:hyperlink w:anchor="_Toc159273094" w:history="1">
        <w:r w:rsidRPr="00F65D3F">
          <w:rPr>
            <w:rStyle w:val="Hyperlink"/>
            <w:lang w:val="en-US"/>
          </w:rPr>
          <w:t>b.</w:t>
        </w:r>
        <w:r>
          <w:rPr>
            <w:rFonts w:asciiTheme="minorHAnsi" w:eastAsiaTheme="minorEastAsia" w:hAnsiTheme="minorHAnsi"/>
            <w:b w:val="0"/>
            <w:iCs w:val="0"/>
            <w:kern w:val="2"/>
            <w:sz w:val="22"/>
            <w:lang w:eastAsia="en-GB"/>
            <w14:ligatures w14:val="standardContextual"/>
          </w:rPr>
          <w:tab/>
        </w:r>
        <w:r w:rsidRPr="00F65D3F">
          <w:rPr>
            <w:rStyle w:val="Hyperlink"/>
          </w:rPr>
          <w:t>For NGSO, depending on the difference in power between source and target satellite, the destructive interference caused by the DL payload from either source or target satellite might make the SSB data from the other satellite not decodable at the UE side. However, this can be addressed by scheduler implementation.</w:t>
        </w:r>
      </w:hyperlink>
    </w:p>
    <w:p w14:paraId="4928BDC7" w14:textId="78AD2D2E" w:rsidR="00A8046E" w:rsidRDefault="00A8046E">
      <w:pPr>
        <w:pStyle w:val="TOC1"/>
        <w:tabs>
          <w:tab w:val="left" w:pos="400"/>
        </w:tabs>
        <w:rPr>
          <w:rFonts w:asciiTheme="minorHAnsi" w:eastAsiaTheme="minorEastAsia" w:hAnsiTheme="minorHAnsi"/>
          <w:b w:val="0"/>
          <w:iCs w:val="0"/>
          <w:kern w:val="2"/>
          <w:sz w:val="22"/>
          <w:lang w:eastAsia="en-GB"/>
          <w14:ligatures w14:val="standardContextual"/>
        </w:rPr>
      </w:pPr>
      <w:hyperlink w:anchor="_Toc159273095" w:history="1">
        <w:r w:rsidRPr="00F65D3F">
          <w:rPr>
            <w:rStyle w:val="Hyperlink"/>
            <w:lang w:val="en-US"/>
          </w:rPr>
          <w:t>c.</w:t>
        </w:r>
        <w:r>
          <w:rPr>
            <w:rFonts w:asciiTheme="minorHAnsi" w:eastAsiaTheme="minorEastAsia" w:hAnsiTheme="minorHAnsi"/>
            <w:b w:val="0"/>
            <w:iCs w:val="0"/>
            <w:kern w:val="2"/>
            <w:sz w:val="22"/>
            <w:lang w:eastAsia="en-GB"/>
            <w14:ligatures w14:val="standardContextual"/>
          </w:rPr>
          <w:tab/>
        </w:r>
        <w:r w:rsidRPr="00F65D3F">
          <w:rPr>
            <w:rStyle w:val="Hyperlink"/>
            <w:lang w:val="en-US"/>
          </w:rPr>
          <w:t>If the UE is configured with a different SMTC for the target satellite, but cannot adjust the SMTC window due to the propagation delay difference, the NW cannot guarantee that the SMTC opportunities will coincide with the SSB reception by the UE.</w:t>
        </w:r>
      </w:hyperlink>
    </w:p>
    <w:p w14:paraId="3B0562B2" w14:textId="13AC5D96" w:rsidR="00A8046E" w:rsidRDefault="00A8046E">
      <w:pPr>
        <w:pStyle w:val="TOC1"/>
        <w:tabs>
          <w:tab w:val="left" w:pos="400"/>
        </w:tabs>
        <w:rPr>
          <w:rFonts w:asciiTheme="minorHAnsi" w:eastAsiaTheme="minorEastAsia" w:hAnsiTheme="minorHAnsi"/>
          <w:b w:val="0"/>
          <w:iCs w:val="0"/>
          <w:kern w:val="2"/>
          <w:sz w:val="22"/>
          <w:lang w:eastAsia="en-GB"/>
          <w14:ligatures w14:val="standardContextual"/>
        </w:rPr>
      </w:pPr>
      <w:hyperlink w:anchor="_Toc159273096" w:history="1">
        <w:r w:rsidRPr="00F65D3F">
          <w:rPr>
            <w:rStyle w:val="Hyperlink"/>
            <w:bCs/>
          </w:rPr>
          <w:t>d.</w:t>
        </w:r>
        <w:r>
          <w:rPr>
            <w:rFonts w:asciiTheme="minorHAnsi" w:eastAsiaTheme="minorEastAsia" w:hAnsiTheme="minorHAnsi"/>
            <w:b w:val="0"/>
            <w:iCs w:val="0"/>
            <w:kern w:val="2"/>
            <w:sz w:val="22"/>
            <w:lang w:eastAsia="en-GB"/>
            <w14:ligatures w14:val="standardContextual"/>
          </w:rPr>
          <w:tab/>
        </w:r>
        <w:r w:rsidRPr="00F65D3F">
          <w:rPr>
            <w:rStyle w:val="Hyperlink"/>
            <w:lang w:val="en-US"/>
          </w:rPr>
          <w:t xml:space="preserve">If the UE is allowed to adjust the SMTC opportunity to measure the target satellite due to the propagation delay difference, then if the UE does not support </w:t>
        </w:r>
        <w:r w:rsidRPr="00F65D3F">
          <w:rPr>
            <w:rStyle w:val="Hyperlink"/>
          </w:rPr>
          <w:t>p</w:t>
        </w:r>
        <w:r w:rsidRPr="00F65D3F">
          <w:rPr>
            <w:rStyle w:val="Hyperlink"/>
            <w:i/>
          </w:rPr>
          <w:t>arallelMeasurementWithoutRestriction-r17</w:t>
        </w:r>
        <w:r w:rsidRPr="00F65D3F">
          <w:rPr>
            <w:rStyle w:val="Hyperlink"/>
            <w:bCs/>
          </w:rPr>
          <w:t>, this UE has to be considered to be in scheduling restrictions for the whole duration of the soft-switch window.</w:t>
        </w:r>
      </w:hyperlink>
    </w:p>
    <w:p w14:paraId="58A8139D" w14:textId="47406746"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097" w:history="1">
        <w:r w:rsidRPr="00F65D3F">
          <w:rPr>
            <w:rStyle w:val="Hyperlink"/>
            <w:lang w:val="en-US"/>
          </w:rPr>
          <w:t>Proposal 2: In order to alleviate the scheduling restriction problem, RAN4 to ask RAN2 in the LS to provide one of the following solutions:</w:t>
        </w:r>
      </w:hyperlink>
    </w:p>
    <w:p w14:paraId="43055CC8" w14:textId="3DF29B71" w:rsidR="00A8046E" w:rsidRDefault="00A8046E">
      <w:pPr>
        <w:pStyle w:val="TOC1"/>
        <w:tabs>
          <w:tab w:val="left" w:pos="400"/>
        </w:tabs>
        <w:rPr>
          <w:rFonts w:asciiTheme="minorHAnsi" w:eastAsiaTheme="minorEastAsia" w:hAnsiTheme="minorHAnsi"/>
          <w:b w:val="0"/>
          <w:iCs w:val="0"/>
          <w:kern w:val="2"/>
          <w:sz w:val="22"/>
          <w:lang w:eastAsia="en-GB"/>
          <w14:ligatures w14:val="standardContextual"/>
        </w:rPr>
      </w:pPr>
      <w:hyperlink w:anchor="_Toc159273098" w:history="1">
        <w:r w:rsidRPr="00F65D3F">
          <w:rPr>
            <w:rStyle w:val="Hyperlink"/>
            <w:lang w:val="en-US"/>
          </w:rPr>
          <w:t>a.</w:t>
        </w:r>
        <w:r>
          <w:rPr>
            <w:rFonts w:asciiTheme="minorHAnsi" w:eastAsiaTheme="minorEastAsia" w:hAnsiTheme="minorHAnsi"/>
            <w:b w:val="0"/>
            <w:iCs w:val="0"/>
            <w:kern w:val="2"/>
            <w:sz w:val="22"/>
            <w:lang w:eastAsia="en-GB"/>
            <w14:ligatures w14:val="standardContextual"/>
          </w:rPr>
          <w:tab/>
        </w:r>
        <w:r w:rsidRPr="00F65D3F">
          <w:rPr>
            <w:rStyle w:val="Hyperlink"/>
            <w:lang w:val="en-US"/>
          </w:rPr>
          <w:t>Option 1: Create a mechanism to allow the UE to report the PDD during the setup of satellite switching with re-sync</w:t>
        </w:r>
      </w:hyperlink>
    </w:p>
    <w:p w14:paraId="3FC529F7" w14:textId="42C41838" w:rsidR="00A8046E" w:rsidRDefault="00A8046E">
      <w:pPr>
        <w:pStyle w:val="TOC1"/>
        <w:tabs>
          <w:tab w:val="left" w:pos="400"/>
        </w:tabs>
        <w:rPr>
          <w:rFonts w:asciiTheme="minorHAnsi" w:eastAsiaTheme="minorEastAsia" w:hAnsiTheme="minorHAnsi"/>
          <w:b w:val="0"/>
          <w:iCs w:val="0"/>
          <w:kern w:val="2"/>
          <w:sz w:val="22"/>
          <w:lang w:eastAsia="en-GB"/>
          <w14:ligatures w14:val="standardContextual"/>
        </w:rPr>
      </w:pPr>
      <w:hyperlink w:anchor="_Toc159273099" w:history="1">
        <w:r w:rsidRPr="00F65D3F">
          <w:rPr>
            <w:rStyle w:val="Hyperlink"/>
            <w:lang w:val="en-US"/>
          </w:rPr>
          <w:t>b.</w:t>
        </w:r>
        <w:r>
          <w:rPr>
            <w:rFonts w:asciiTheme="minorHAnsi" w:eastAsiaTheme="minorEastAsia" w:hAnsiTheme="minorHAnsi"/>
            <w:b w:val="0"/>
            <w:iCs w:val="0"/>
            <w:kern w:val="2"/>
            <w:sz w:val="22"/>
            <w:lang w:eastAsia="en-GB"/>
            <w14:ligatures w14:val="standardContextual"/>
          </w:rPr>
          <w:tab/>
        </w:r>
        <w:r w:rsidRPr="00F65D3F">
          <w:rPr>
            <w:rStyle w:val="Hyperlink"/>
            <w:lang w:val="en-US"/>
          </w:rPr>
          <w:t>Option 2: Only allow UEs to perform the measurement in the target satellite, if the scheduling restriction caused by the sliding of the SMTC window is below a given threshold “T”, i.e., if the PDD is smaller than T.</w:t>
        </w:r>
      </w:hyperlink>
    </w:p>
    <w:p w14:paraId="09E7C33F" w14:textId="33A28FC1"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100" w:history="1">
        <w:r w:rsidRPr="00F65D3F">
          <w:rPr>
            <w:rStyle w:val="Hyperlink"/>
          </w:rPr>
          <w:t>Proposal 3: For the NTN to TN Cell Reselection Requirements, re-use the same requirements for inter-frequency cell reselection (T</w:t>
        </w:r>
        <w:r w:rsidRPr="00F65D3F">
          <w:rPr>
            <w:rStyle w:val="Hyperlink"/>
            <w:vertAlign w:val="subscript"/>
          </w:rPr>
          <w:t>measure</w:t>
        </w:r>
        <w:r w:rsidRPr="00F65D3F">
          <w:rPr>
            <w:rStyle w:val="Hyperlink"/>
          </w:rPr>
          <w:t>, T</w:t>
        </w:r>
        <w:r w:rsidRPr="00F65D3F">
          <w:rPr>
            <w:rStyle w:val="Hyperlink"/>
            <w:vertAlign w:val="subscript"/>
          </w:rPr>
          <w:t>detect</w:t>
        </w:r>
        <w:r w:rsidRPr="00F65D3F">
          <w:rPr>
            <w:rStyle w:val="Hyperlink"/>
          </w:rPr>
          <w:t>, T</w:t>
        </w:r>
        <w:r w:rsidRPr="00F65D3F">
          <w:rPr>
            <w:rStyle w:val="Hyperlink"/>
            <w:vertAlign w:val="subscript"/>
          </w:rPr>
          <w:t>measure</w:t>
        </w:r>
        <w:r w:rsidRPr="00F65D3F">
          <w:rPr>
            <w:rStyle w:val="Hyperlink"/>
          </w:rPr>
          <w:t>) used for NTN to NTN, with K_multi_SMTC =1.</w:t>
        </w:r>
      </w:hyperlink>
    </w:p>
    <w:p w14:paraId="1B3A0B8D" w14:textId="6B02439F"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101" w:history="1">
        <w:r w:rsidRPr="00F65D3F">
          <w:rPr>
            <w:rStyle w:val="Hyperlink"/>
          </w:rPr>
          <w:t>Proposal 4: Capture in specification that “When the UE is configured to measure a frequency layer associated to terrestrial cells, the measurement requirements are not applicable when the UE is provided with information about the TN coverage area and the UE is outsie the coverage area”.</w:t>
        </w:r>
      </w:hyperlink>
    </w:p>
    <w:p w14:paraId="1CD9D486" w14:textId="1A8FA996"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102" w:history="1">
        <w:r w:rsidRPr="00F65D3F">
          <w:rPr>
            <w:rStyle w:val="Hyperlink"/>
          </w:rPr>
          <w:t>Proposal 5: In GSO scenarios, GNSS may be off during measurement procedures for cell reselection, and additional delay time is expected due to GNSS switch-on after the UE reselects to a NTN cell.</w:t>
        </w:r>
      </w:hyperlink>
    </w:p>
    <w:p w14:paraId="6BBAEA46" w14:textId="326B97EE"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103" w:history="1">
        <w:r w:rsidRPr="00F65D3F">
          <w:rPr>
            <w:rStyle w:val="Hyperlink"/>
          </w:rPr>
          <w:t>Proposal 6: In NGSO scenarios, GNSS shall be on during measurement procedures for cell reselection, if the NTN capable UE is configured to measure a NTN frequency layer with higher priority.</w:t>
        </w:r>
      </w:hyperlink>
    </w:p>
    <w:p w14:paraId="7CBA7836" w14:textId="5A5C6023"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104" w:history="1">
        <w:r w:rsidRPr="00F65D3F">
          <w:rPr>
            <w:rStyle w:val="Hyperlink"/>
          </w:rPr>
          <w:t>Proposal 7: In NGSO scenarios, GNSS may be off during measurement procedures for cell reselection if the NTN capable UE is configured with all NTN frequencies with lower or equal priority as terrestrial frequency layers. If the UE cannot find a suitable terrestrial ell within [T] seconds, GNSS shall be turned on to measure on NTN frequency layers.</w:t>
        </w:r>
      </w:hyperlink>
    </w:p>
    <w:p w14:paraId="18A2A854" w14:textId="6A551B96"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105" w:history="1">
        <w:r w:rsidRPr="00F65D3F">
          <w:rPr>
            <w:rStyle w:val="Hyperlink"/>
          </w:rPr>
          <w:t>Proposal 8: RAN4 to discuss whether the number of neighbor satellites to be measured in a NGSO NTN layer shall be limited to 1.</w:t>
        </w:r>
      </w:hyperlink>
    </w:p>
    <w:p w14:paraId="332069F8" w14:textId="2E810A86"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106" w:history="1">
        <w:r w:rsidRPr="00F65D3F">
          <w:rPr>
            <w:rStyle w:val="Hyperlink"/>
          </w:rPr>
          <w:t>Proposal 9: RAN4 to capture requirements for TN-to-NTN cell reselection in IDLE mode in a new subclause under clause 4.2</w:t>
        </w:r>
      </w:hyperlink>
    </w:p>
    <w:p w14:paraId="7D8E258F" w14:textId="1474CEA4" w:rsidR="00A8046E" w:rsidRDefault="00A8046E">
      <w:pPr>
        <w:pStyle w:val="TOC1"/>
        <w:rPr>
          <w:rFonts w:asciiTheme="minorHAnsi" w:eastAsiaTheme="minorEastAsia" w:hAnsiTheme="minorHAnsi"/>
          <w:b w:val="0"/>
          <w:iCs w:val="0"/>
          <w:kern w:val="2"/>
          <w:sz w:val="22"/>
          <w:lang w:eastAsia="en-GB"/>
          <w14:ligatures w14:val="standardContextual"/>
        </w:rPr>
      </w:pPr>
      <w:hyperlink w:anchor="_Toc159273107" w:history="1">
        <w:r w:rsidRPr="00F65D3F">
          <w:rPr>
            <w:rStyle w:val="Hyperlink"/>
          </w:rPr>
          <w:t>Proposal 10: RAN4 to agree on the FFS proposed in Issue 5-3 of the Way-Forward, R4-2321362.</w:t>
        </w:r>
      </w:hyperlink>
    </w:p>
    <w:p w14:paraId="330A5ECD" w14:textId="5143D051" w:rsidR="00847264" w:rsidRDefault="000065F4" w:rsidP="008C39F7">
      <w:r>
        <w:rPr>
          <w:i/>
          <w:iCs/>
          <w:u w:val="single"/>
        </w:rPr>
        <w:fldChar w:fldCharType="end"/>
      </w:r>
    </w:p>
    <w:p w14:paraId="2B81E2F9" w14:textId="754362D9" w:rsidR="00430EF3" w:rsidRPr="00381F95" w:rsidRDefault="00430EF3" w:rsidP="00430EF3">
      <w:pPr>
        <w:pStyle w:val="RAN4H1"/>
        <w:numPr>
          <w:ilvl w:val="0"/>
          <w:numId w:val="0"/>
        </w:numPr>
        <w:ind w:left="360" w:hanging="360"/>
      </w:pPr>
      <w:r>
        <w:t>Annex A</w:t>
      </w:r>
    </w:p>
    <w:p w14:paraId="7D8DCE3F" w14:textId="77777777" w:rsidR="00430EF3" w:rsidRDefault="00430EF3" w:rsidP="00430EF3">
      <w:pPr>
        <w:rPr>
          <w:b/>
          <w:bCs/>
        </w:rPr>
      </w:pPr>
      <w:r>
        <w:t xml:space="preserve">The typical scenario for the satellite switching with re-sync is depicted in </w:t>
      </w:r>
      <w:r>
        <w:fldChar w:fldCharType="begin"/>
      </w:r>
      <w:r>
        <w:instrText xml:space="preserve"> REF _Ref158728723 \h </w:instrText>
      </w:r>
      <w:r>
        <w:fldChar w:fldCharType="separate"/>
      </w:r>
      <w:r>
        <w:t xml:space="preserve">Figure </w:t>
      </w:r>
      <w:r>
        <w:rPr>
          <w:noProof/>
        </w:rPr>
        <w:t>1</w:t>
      </w:r>
      <w:r>
        <w:fldChar w:fldCharType="end"/>
      </w:r>
      <w:r>
        <w:t xml:space="preserve">, which also shows the respective propagation delay times (feeder link and service link) respective to a UE in the cell. </w:t>
      </w:r>
      <w:r>
        <w:rPr>
          <w:b/>
          <w:bCs/>
        </w:rPr>
        <w:t>Assuming a SSB periodicity of 20 ms, in this scenario we can say that:</w:t>
      </w:r>
    </w:p>
    <w:p w14:paraId="442E418B" w14:textId="77777777" w:rsidR="00430EF3" w:rsidRDefault="00430EF3" w:rsidP="00430EF3">
      <w:pPr>
        <w:pStyle w:val="ListParagraph"/>
        <w:numPr>
          <w:ilvl w:val="0"/>
          <w:numId w:val="32"/>
        </w:numPr>
      </w:pPr>
      <w:r>
        <w:t xml:space="preserve">The source node broadcasts the SSB at </w:t>
      </w:r>
      <w:r w:rsidRPr="00C97583">
        <w:rPr>
          <w:b/>
          <w:bCs/>
        </w:rPr>
        <w:t>t</w:t>
      </w:r>
      <w:r w:rsidRPr="00C97583">
        <w:rPr>
          <w:b/>
          <w:bCs/>
          <w:vertAlign w:val="subscript"/>
        </w:rPr>
        <w:t>0</w:t>
      </w:r>
      <w:r>
        <w:t xml:space="preserve">, where </w:t>
      </w:r>
      <w:r w:rsidRPr="00C97583">
        <w:rPr>
          <w:b/>
          <w:bCs/>
        </w:rPr>
        <w:t>t</w:t>
      </w:r>
      <w:r w:rsidRPr="00C97583">
        <w:rPr>
          <w:b/>
          <w:bCs/>
          <w:vertAlign w:val="subscript"/>
        </w:rPr>
        <w:t>0</w:t>
      </w:r>
      <w:r>
        <w:t xml:space="preserve"> = 0, 20 ms, 40 ms, ….</w:t>
      </w:r>
    </w:p>
    <w:p w14:paraId="3D9558AC" w14:textId="77777777" w:rsidR="00430EF3" w:rsidRDefault="00430EF3" w:rsidP="00430EF3">
      <w:pPr>
        <w:pStyle w:val="ListParagraph"/>
        <w:numPr>
          <w:ilvl w:val="0"/>
          <w:numId w:val="31"/>
        </w:numPr>
      </w:pPr>
      <w:r>
        <w:t xml:space="preserve"> The target broadcasts the SSB at </w:t>
      </w:r>
      <w:r w:rsidRPr="00C97583">
        <w:rPr>
          <w:b/>
          <w:bCs/>
        </w:rPr>
        <w:t>t</w:t>
      </w:r>
      <w:r w:rsidRPr="00C97583">
        <w:rPr>
          <w:b/>
          <w:bCs/>
          <w:vertAlign w:val="subscript"/>
        </w:rPr>
        <w:t>0</w:t>
      </w:r>
      <w:r w:rsidRPr="00C97583">
        <w:rPr>
          <w:b/>
          <w:bCs/>
        </w:rPr>
        <w:t xml:space="preserve"> </w:t>
      </w:r>
      <w:r>
        <w:t xml:space="preserve">+ </w:t>
      </w:r>
      <w:proofErr w:type="spellStart"/>
      <w:r w:rsidRPr="00C97583">
        <w:rPr>
          <w:b/>
          <w:bCs/>
        </w:rPr>
        <w:t>t</w:t>
      </w:r>
      <w:r w:rsidRPr="00C97583">
        <w:rPr>
          <w:b/>
          <w:bCs/>
          <w:vertAlign w:val="subscript"/>
        </w:rPr>
        <w:t>offset</w:t>
      </w:r>
      <w:proofErr w:type="spellEnd"/>
      <w:r>
        <w:rPr>
          <w:b/>
          <w:bCs/>
        </w:rPr>
        <w:t xml:space="preserve"> </w:t>
      </w:r>
      <w:r w:rsidRPr="00C97583">
        <w:t>, where</w:t>
      </w:r>
      <w:r w:rsidRPr="00C97583">
        <w:rPr>
          <w:b/>
          <w:bCs/>
        </w:rPr>
        <w:t xml:space="preserve"> </w:t>
      </w:r>
      <w:proofErr w:type="spellStart"/>
      <w:r w:rsidRPr="00C97583">
        <w:rPr>
          <w:b/>
          <w:bCs/>
        </w:rPr>
        <w:t>t</w:t>
      </w:r>
      <w:r w:rsidRPr="00C97583">
        <w:rPr>
          <w:b/>
          <w:bCs/>
          <w:vertAlign w:val="subscript"/>
        </w:rPr>
        <w:t>offset</w:t>
      </w:r>
      <w:proofErr w:type="spellEnd"/>
      <w:r w:rsidRPr="00C97583">
        <w:rPr>
          <w:b/>
          <w:bCs/>
        </w:rPr>
        <w:t xml:space="preserve"> </w:t>
      </w:r>
      <w:r w:rsidRPr="00C97583">
        <w:t>corresponds to the offset value indicated in the SIB message for the target satellite.</w:t>
      </w:r>
      <w:r>
        <w:rPr>
          <w:b/>
          <w:bCs/>
        </w:rPr>
        <w:t xml:space="preserve"> </w:t>
      </w:r>
    </w:p>
    <w:p w14:paraId="25779CE5" w14:textId="77777777" w:rsidR="00430EF3" w:rsidRDefault="00430EF3" w:rsidP="00430EF3"/>
    <w:p w14:paraId="78CAD1EF" w14:textId="77777777" w:rsidR="00430EF3" w:rsidRDefault="00430EF3" w:rsidP="00430EF3"/>
    <w:p w14:paraId="17E4A860" w14:textId="77777777" w:rsidR="00430EF3" w:rsidRDefault="00430EF3" w:rsidP="00430EF3">
      <w:pPr>
        <w:keepNext/>
      </w:pPr>
      <w:r>
        <w:rPr>
          <w:noProof/>
        </w:rPr>
        <w:drawing>
          <wp:inline distT="0" distB="0" distL="0" distR="0" wp14:anchorId="5423AE5D" wp14:editId="77E4FEA6">
            <wp:extent cx="6116320" cy="2389389"/>
            <wp:effectExtent l="0" t="0" r="0" b="0"/>
            <wp:docPr id="1954844427" name="Picture 1954844427" descr="A line in a dark are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844427" name="Picture 1" descr="A line in a dark area&#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7294" cy="2397583"/>
                    </a:xfrm>
                    <a:prstGeom prst="rect">
                      <a:avLst/>
                    </a:prstGeom>
                    <a:noFill/>
                  </pic:spPr>
                </pic:pic>
              </a:graphicData>
            </a:graphic>
          </wp:inline>
        </w:drawing>
      </w:r>
    </w:p>
    <w:p w14:paraId="3A1C29BE" w14:textId="77777777" w:rsidR="00430EF3" w:rsidRDefault="00430EF3" w:rsidP="00430EF3">
      <w:pPr>
        <w:pStyle w:val="Caption"/>
        <w:jc w:val="left"/>
      </w:pPr>
      <w:bookmarkStart w:id="31" w:name="_Ref158728723"/>
      <w:r>
        <w:t xml:space="preserve">Figure </w:t>
      </w:r>
      <w:r>
        <w:fldChar w:fldCharType="begin"/>
      </w:r>
      <w:r>
        <w:instrText xml:space="preserve"> SEQ Figure \* ARABIC </w:instrText>
      </w:r>
      <w:r>
        <w:fldChar w:fldCharType="separate"/>
      </w:r>
      <w:r>
        <w:rPr>
          <w:noProof/>
        </w:rPr>
        <w:t>1</w:t>
      </w:r>
      <w:r>
        <w:fldChar w:fldCharType="end"/>
      </w:r>
      <w:bookmarkEnd w:id="31"/>
      <w:r>
        <w:t xml:space="preserve">. Typical scenario for satellite switching with re-sync, showing the different propagation delay  elements. </w:t>
      </w:r>
    </w:p>
    <w:p w14:paraId="657A20B5" w14:textId="77777777" w:rsidR="00430EF3" w:rsidRDefault="00430EF3" w:rsidP="00430EF3"/>
    <w:p w14:paraId="1945B2EC" w14:textId="77777777" w:rsidR="00430EF3" w:rsidRDefault="00430EF3" w:rsidP="00430EF3">
      <w:proofErr w:type="gramStart"/>
      <w:r>
        <w:t>First of all</w:t>
      </w:r>
      <w:proofErr w:type="gramEnd"/>
      <w:r>
        <w:t>, our understanding is that in the soft switch, the target satellite starts the transmission over the cell area (“footprint”) at the instant T-start which is necessarily before T-service.</w:t>
      </w:r>
    </w:p>
    <w:p w14:paraId="21EDC22E" w14:textId="77777777" w:rsidR="00430EF3" w:rsidRDefault="00430EF3" w:rsidP="00430EF3"/>
    <w:p w14:paraId="393F2C43" w14:textId="77777777" w:rsidR="00430EF3" w:rsidRDefault="00430EF3" w:rsidP="00430EF3">
      <w:r>
        <w:t xml:space="preserve">Consequently, based on the above and in the picture presented in </w:t>
      </w:r>
      <w:r>
        <w:fldChar w:fldCharType="begin"/>
      </w:r>
      <w:r>
        <w:instrText xml:space="preserve"> REF _Ref158728723 \h </w:instrText>
      </w:r>
      <w:r>
        <w:fldChar w:fldCharType="separate"/>
      </w:r>
      <w:r>
        <w:t xml:space="preserve">Figure </w:t>
      </w:r>
      <w:r>
        <w:rPr>
          <w:noProof/>
        </w:rPr>
        <w:t>1</w:t>
      </w:r>
      <w:r>
        <w:fldChar w:fldCharType="end"/>
      </w:r>
      <w:r>
        <w:t>, the UE:</w:t>
      </w:r>
    </w:p>
    <w:p w14:paraId="4791E01B" w14:textId="77777777" w:rsidR="00430EF3" w:rsidRDefault="00430EF3" w:rsidP="00430EF3">
      <w:pPr>
        <w:pStyle w:val="ListParagraph"/>
        <w:numPr>
          <w:ilvl w:val="0"/>
          <w:numId w:val="31"/>
        </w:numPr>
      </w:pPr>
      <w:r>
        <w:t xml:space="preserve">Receives the SSB from source node at: </w:t>
      </w:r>
      <w:r w:rsidRPr="00331165">
        <w:rPr>
          <w:b/>
          <w:bCs/>
        </w:rPr>
        <w:t>t</w:t>
      </w:r>
      <w:r w:rsidRPr="006C11A6">
        <w:rPr>
          <w:b/>
          <w:bCs/>
          <w:vertAlign w:val="subscript"/>
        </w:rPr>
        <w:t>0</w:t>
      </w:r>
      <w:r w:rsidRPr="00331165">
        <w:rPr>
          <w:b/>
          <w:bCs/>
        </w:rPr>
        <w:t xml:space="preserve"> + </w:t>
      </w:r>
      <w:proofErr w:type="spellStart"/>
      <w:r w:rsidRPr="00331165">
        <w:rPr>
          <w:b/>
          <w:bCs/>
        </w:rPr>
        <w:t>t</w:t>
      </w:r>
      <w:r w:rsidRPr="00331165">
        <w:rPr>
          <w:b/>
          <w:bCs/>
          <w:vertAlign w:val="subscript"/>
        </w:rPr>
        <w:t>SL,source</w:t>
      </w:r>
      <w:proofErr w:type="spellEnd"/>
      <w:r w:rsidRPr="00331165">
        <w:rPr>
          <w:b/>
          <w:bCs/>
        </w:rPr>
        <w:t xml:space="preserve"> </w:t>
      </w:r>
      <w:r>
        <w:rPr>
          <w:b/>
          <w:bCs/>
        </w:rPr>
        <w:t xml:space="preserve"> + </w:t>
      </w:r>
      <w:proofErr w:type="spellStart"/>
      <w:r w:rsidRPr="00331165">
        <w:rPr>
          <w:b/>
          <w:bCs/>
        </w:rPr>
        <w:t>t</w:t>
      </w:r>
      <w:r w:rsidRPr="00331165">
        <w:rPr>
          <w:b/>
          <w:bCs/>
          <w:vertAlign w:val="subscript"/>
        </w:rPr>
        <w:t>FL,</w:t>
      </w:r>
      <w:proofErr w:type="gramStart"/>
      <w:r w:rsidRPr="00331165">
        <w:rPr>
          <w:b/>
          <w:bCs/>
          <w:vertAlign w:val="subscript"/>
        </w:rPr>
        <w:t>source</w:t>
      </w:r>
      <w:proofErr w:type="spellEnd"/>
      <w:proofErr w:type="gramEnd"/>
    </w:p>
    <w:p w14:paraId="424F3683" w14:textId="77777777" w:rsidR="00430EF3" w:rsidRPr="006C11A6" w:rsidRDefault="00430EF3" w:rsidP="00430EF3">
      <w:pPr>
        <w:pStyle w:val="ListParagraph"/>
        <w:numPr>
          <w:ilvl w:val="0"/>
          <w:numId w:val="31"/>
        </w:numPr>
      </w:pPr>
      <w:r>
        <w:t xml:space="preserve">Receives the SSB from target node at: </w:t>
      </w:r>
      <w:r w:rsidRPr="00331165">
        <w:rPr>
          <w:b/>
          <w:bCs/>
        </w:rPr>
        <w:t>t</w:t>
      </w:r>
      <w:r w:rsidRPr="006C11A6">
        <w:rPr>
          <w:b/>
          <w:bCs/>
          <w:vertAlign w:val="subscript"/>
        </w:rPr>
        <w:t>0</w:t>
      </w:r>
      <w:r w:rsidRPr="00331165">
        <w:rPr>
          <w:b/>
          <w:bCs/>
        </w:rPr>
        <w:t xml:space="preserve"> + </w:t>
      </w:r>
      <w:proofErr w:type="spellStart"/>
      <w:r w:rsidRPr="00331165">
        <w:rPr>
          <w:b/>
          <w:bCs/>
        </w:rPr>
        <w:t>t</w:t>
      </w:r>
      <w:r w:rsidRPr="00331165">
        <w:rPr>
          <w:b/>
          <w:bCs/>
          <w:vertAlign w:val="subscript"/>
        </w:rPr>
        <w:t>SL,target</w:t>
      </w:r>
      <w:proofErr w:type="spellEnd"/>
      <w:r w:rsidRPr="00331165">
        <w:rPr>
          <w:b/>
          <w:bCs/>
          <w:vertAlign w:val="subscript"/>
        </w:rPr>
        <w:t xml:space="preserve"> </w:t>
      </w:r>
      <w:r w:rsidRPr="00331165">
        <w:rPr>
          <w:b/>
          <w:bCs/>
        </w:rPr>
        <w:t xml:space="preserve">+ </w:t>
      </w:r>
      <w:proofErr w:type="spellStart"/>
      <w:r w:rsidRPr="00331165">
        <w:rPr>
          <w:b/>
          <w:bCs/>
        </w:rPr>
        <w:t>t</w:t>
      </w:r>
      <w:r w:rsidRPr="00331165">
        <w:rPr>
          <w:b/>
          <w:bCs/>
          <w:vertAlign w:val="subscript"/>
        </w:rPr>
        <w:t>FL,target</w:t>
      </w:r>
      <w:proofErr w:type="spellEnd"/>
      <w:r w:rsidRPr="00331165">
        <w:rPr>
          <w:b/>
          <w:bCs/>
          <w:vertAlign w:val="subscript"/>
        </w:rPr>
        <w:t xml:space="preserve"> </w:t>
      </w:r>
      <w:r w:rsidRPr="00331165">
        <w:rPr>
          <w:b/>
          <w:bCs/>
        </w:rPr>
        <w:t xml:space="preserve">+ </w:t>
      </w:r>
      <w:proofErr w:type="spellStart"/>
      <w:proofErr w:type="gramStart"/>
      <w:r w:rsidRPr="00331165">
        <w:rPr>
          <w:b/>
          <w:bCs/>
        </w:rPr>
        <w:t>t</w:t>
      </w:r>
      <w:r w:rsidRPr="00331165">
        <w:rPr>
          <w:b/>
          <w:bCs/>
          <w:vertAlign w:val="subscript"/>
        </w:rPr>
        <w:t>offset</w:t>
      </w:r>
      <w:proofErr w:type="spellEnd"/>
      <w:proofErr w:type="gramEnd"/>
    </w:p>
    <w:p w14:paraId="73EB1D19" w14:textId="77777777" w:rsidR="00430EF3" w:rsidRDefault="00430EF3" w:rsidP="00430EF3"/>
    <w:p w14:paraId="1DC83C4C" w14:textId="77777777" w:rsidR="00430EF3" w:rsidRDefault="00430EF3" w:rsidP="00430EF3">
      <w:pPr>
        <w:rPr>
          <w:b/>
          <w:bCs/>
        </w:rPr>
      </w:pPr>
      <w:r>
        <w:t>Because the SSB window (SMTC window) has a duration of 5 ms, then for avoiding overlapping, the SSB from the target node must be received outside the window of [</w:t>
      </w:r>
      <w:r w:rsidRPr="006C11A6">
        <w:rPr>
          <w:b/>
          <w:bCs/>
        </w:rPr>
        <w:t>t</w:t>
      </w:r>
      <w:r w:rsidRPr="006C11A6">
        <w:rPr>
          <w:b/>
          <w:bCs/>
          <w:vertAlign w:val="subscript"/>
        </w:rPr>
        <w:t>0</w:t>
      </w:r>
      <w:r>
        <w:t xml:space="preserve">-5 ms, </w:t>
      </w:r>
      <w:r w:rsidRPr="006C11A6">
        <w:rPr>
          <w:b/>
          <w:bCs/>
        </w:rPr>
        <w:t>t</w:t>
      </w:r>
      <w:r w:rsidRPr="006C11A6">
        <w:rPr>
          <w:b/>
          <w:bCs/>
          <w:vertAlign w:val="subscript"/>
        </w:rPr>
        <w:t>0</w:t>
      </w:r>
      <w:r>
        <w:t xml:space="preserve">+5ms], which is equivalent to say that the total delay difference  (propagation delay difference  + </w:t>
      </w:r>
      <w:proofErr w:type="spellStart"/>
      <w:r>
        <w:t>toffset</w:t>
      </w:r>
      <w:proofErr w:type="spellEnd"/>
      <w:r>
        <w:t xml:space="preserve"> ) is outside the range [-5, 5 ms] + </w:t>
      </w:r>
      <w:r w:rsidRPr="006C11A6">
        <w:rPr>
          <w:b/>
          <w:bCs/>
        </w:rPr>
        <w:t>t</w:t>
      </w:r>
      <w:r w:rsidRPr="006C11A6">
        <w:rPr>
          <w:b/>
          <w:bCs/>
          <w:vertAlign w:val="subscript"/>
        </w:rPr>
        <w:t>0</w:t>
      </w:r>
      <w:r>
        <w:rPr>
          <w:b/>
          <w:bCs/>
        </w:rPr>
        <w:t>.</w:t>
      </w:r>
    </w:p>
    <w:p w14:paraId="25BDFEF6" w14:textId="77777777" w:rsidR="00430EF3" w:rsidRPr="002E7CB9" w:rsidRDefault="00430EF3" w:rsidP="00430EF3">
      <w:pPr>
        <w:rPr>
          <w:b/>
          <w:bCs/>
        </w:rPr>
      </w:pPr>
      <w:r>
        <w:rPr>
          <w:b/>
          <w:bCs/>
        </w:rPr>
        <w:t xml:space="preserve">The total delay difference, </w:t>
      </w:r>
      <w:proofErr w:type="spellStart"/>
      <w:r>
        <w:rPr>
          <w:b/>
          <w:bCs/>
        </w:rPr>
        <w:t>t</w:t>
      </w:r>
      <w:r w:rsidRPr="002E7CB9">
        <w:rPr>
          <w:b/>
          <w:bCs/>
          <w:vertAlign w:val="subscript"/>
        </w:rPr>
        <w:t>diff</w:t>
      </w:r>
      <w:proofErr w:type="spellEnd"/>
      <w:r>
        <w:rPr>
          <w:b/>
          <w:bCs/>
        </w:rPr>
        <w:t xml:space="preserve">, is given by: </w:t>
      </w:r>
    </w:p>
    <w:p w14:paraId="04EAE48F" w14:textId="77777777" w:rsidR="00430EF3" w:rsidRDefault="00430EF3" w:rsidP="00430EF3">
      <w:pPr>
        <w:jc w:val="center"/>
        <w:rPr>
          <w:b/>
          <w:bCs/>
          <w:vertAlign w:val="subscript"/>
        </w:rPr>
      </w:pPr>
      <w:proofErr w:type="spellStart"/>
      <w:r>
        <w:rPr>
          <w:b/>
          <w:bCs/>
        </w:rPr>
        <w:t>t</w:t>
      </w:r>
      <w:r w:rsidRPr="002E7CB9">
        <w:rPr>
          <w:b/>
          <w:bCs/>
          <w:vertAlign w:val="subscript"/>
        </w:rPr>
        <w:t>diff</w:t>
      </w:r>
      <w:proofErr w:type="spellEnd"/>
      <w:r>
        <w:rPr>
          <w:b/>
          <w:bCs/>
        </w:rPr>
        <w:t xml:space="preserve">  = (</w:t>
      </w:r>
      <w:r w:rsidRPr="00331165">
        <w:rPr>
          <w:b/>
          <w:bCs/>
        </w:rPr>
        <w:t>t</w:t>
      </w:r>
      <w:r w:rsidRPr="006C11A6">
        <w:rPr>
          <w:b/>
          <w:bCs/>
          <w:vertAlign w:val="subscript"/>
        </w:rPr>
        <w:t>0</w:t>
      </w:r>
      <w:r w:rsidRPr="00331165">
        <w:rPr>
          <w:b/>
          <w:bCs/>
        </w:rPr>
        <w:t xml:space="preserve"> + </w:t>
      </w:r>
      <w:proofErr w:type="spellStart"/>
      <w:r w:rsidRPr="00331165">
        <w:rPr>
          <w:b/>
          <w:bCs/>
        </w:rPr>
        <w:t>t</w:t>
      </w:r>
      <w:r w:rsidRPr="00331165">
        <w:rPr>
          <w:b/>
          <w:bCs/>
          <w:vertAlign w:val="subscript"/>
        </w:rPr>
        <w:t>SL,source</w:t>
      </w:r>
      <w:proofErr w:type="spellEnd"/>
      <w:r w:rsidRPr="00331165">
        <w:rPr>
          <w:b/>
          <w:bCs/>
        </w:rPr>
        <w:t xml:space="preserve">, </w:t>
      </w:r>
      <w:proofErr w:type="spellStart"/>
      <w:r w:rsidRPr="00331165">
        <w:rPr>
          <w:b/>
          <w:bCs/>
        </w:rPr>
        <w:t>t</w:t>
      </w:r>
      <w:r w:rsidRPr="00331165">
        <w:rPr>
          <w:b/>
          <w:bCs/>
          <w:vertAlign w:val="subscript"/>
        </w:rPr>
        <w:t>FL,source</w:t>
      </w:r>
      <w:proofErr w:type="spellEnd"/>
      <w:r>
        <w:rPr>
          <w:b/>
          <w:bCs/>
        </w:rPr>
        <w:t>) - (</w:t>
      </w:r>
      <w:r w:rsidRPr="00331165">
        <w:rPr>
          <w:b/>
          <w:bCs/>
        </w:rPr>
        <w:t>t</w:t>
      </w:r>
      <w:r w:rsidRPr="006C11A6">
        <w:rPr>
          <w:b/>
          <w:bCs/>
          <w:vertAlign w:val="subscript"/>
        </w:rPr>
        <w:t>0</w:t>
      </w:r>
      <w:r w:rsidRPr="00331165">
        <w:rPr>
          <w:b/>
          <w:bCs/>
        </w:rPr>
        <w:t xml:space="preserve"> + </w:t>
      </w:r>
      <w:proofErr w:type="spellStart"/>
      <w:r w:rsidRPr="00331165">
        <w:rPr>
          <w:b/>
          <w:bCs/>
        </w:rPr>
        <w:t>t</w:t>
      </w:r>
      <w:r w:rsidRPr="00331165">
        <w:rPr>
          <w:b/>
          <w:bCs/>
          <w:vertAlign w:val="subscript"/>
        </w:rPr>
        <w:t>SL,target</w:t>
      </w:r>
      <w:proofErr w:type="spellEnd"/>
      <w:r w:rsidRPr="00331165">
        <w:rPr>
          <w:b/>
          <w:bCs/>
          <w:vertAlign w:val="subscript"/>
        </w:rPr>
        <w:t xml:space="preserve"> </w:t>
      </w:r>
      <w:r w:rsidRPr="00331165">
        <w:rPr>
          <w:b/>
          <w:bCs/>
        </w:rPr>
        <w:t xml:space="preserve">+ </w:t>
      </w:r>
      <w:proofErr w:type="spellStart"/>
      <w:r w:rsidRPr="00331165">
        <w:rPr>
          <w:b/>
          <w:bCs/>
        </w:rPr>
        <w:t>t</w:t>
      </w:r>
      <w:r w:rsidRPr="00331165">
        <w:rPr>
          <w:b/>
          <w:bCs/>
          <w:vertAlign w:val="subscript"/>
        </w:rPr>
        <w:t>FL,target</w:t>
      </w:r>
      <w:proofErr w:type="spellEnd"/>
      <w:r w:rsidRPr="00331165">
        <w:rPr>
          <w:b/>
          <w:bCs/>
          <w:vertAlign w:val="subscript"/>
        </w:rPr>
        <w:t xml:space="preserve"> </w:t>
      </w:r>
      <w:r w:rsidRPr="00331165">
        <w:rPr>
          <w:b/>
          <w:bCs/>
        </w:rPr>
        <w:t xml:space="preserve">+ </w:t>
      </w:r>
      <w:proofErr w:type="spellStart"/>
      <w:r w:rsidRPr="00331165">
        <w:rPr>
          <w:b/>
          <w:bCs/>
        </w:rPr>
        <w:t>t</w:t>
      </w:r>
      <w:r w:rsidRPr="00331165">
        <w:rPr>
          <w:b/>
          <w:bCs/>
          <w:vertAlign w:val="subscript"/>
        </w:rPr>
        <w:t>offset</w:t>
      </w:r>
      <w:proofErr w:type="spellEnd"/>
      <w:r>
        <w:rPr>
          <w:b/>
          <w:bCs/>
          <w:vertAlign w:val="subscript"/>
        </w:rPr>
        <w:t xml:space="preserve"> </w:t>
      </w:r>
      <w:r>
        <w:rPr>
          <w:b/>
          <w:bCs/>
        </w:rPr>
        <w:t>)</w:t>
      </w:r>
      <w:r>
        <w:rPr>
          <w:b/>
          <w:bCs/>
          <w:vertAlign w:val="subscript"/>
        </w:rPr>
        <w:t xml:space="preserve"> </w:t>
      </w:r>
      <w:r>
        <w:rPr>
          <w:b/>
          <w:bCs/>
        </w:rPr>
        <w:t xml:space="preserve"> = </w:t>
      </w:r>
      <w:proofErr w:type="spellStart"/>
      <w:r w:rsidRPr="00331165">
        <w:rPr>
          <w:b/>
          <w:bCs/>
        </w:rPr>
        <w:t>t</w:t>
      </w:r>
      <w:r w:rsidRPr="00331165">
        <w:rPr>
          <w:b/>
          <w:bCs/>
          <w:vertAlign w:val="subscript"/>
        </w:rPr>
        <w:t>SL,source</w:t>
      </w:r>
      <w:proofErr w:type="spellEnd"/>
      <w:r>
        <w:rPr>
          <w:b/>
          <w:bCs/>
        </w:rPr>
        <w:t xml:space="preserve"> +</w:t>
      </w:r>
      <w:r w:rsidRPr="00331165">
        <w:rPr>
          <w:b/>
          <w:bCs/>
        </w:rPr>
        <w:t xml:space="preserve"> </w:t>
      </w:r>
      <w:proofErr w:type="spellStart"/>
      <w:r w:rsidRPr="00331165">
        <w:rPr>
          <w:b/>
          <w:bCs/>
        </w:rPr>
        <w:t>t</w:t>
      </w:r>
      <w:r w:rsidRPr="00331165">
        <w:rPr>
          <w:b/>
          <w:bCs/>
          <w:vertAlign w:val="subscript"/>
        </w:rPr>
        <w:t>FL,source</w:t>
      </w:r>
      <w:proofErr w:type="spellEnd"/>
      <w:r>
        <w:rPr>
          <w:b/>
          <w:bCs/>
        </w:rPr>
        <w:t xml:space="preserve"> - </w:t>
      </w:r>
      <w:proofErr w:type="spellStart"/>
      <w:r w:rsidRPr="00331165">
        <w:rPr>
          <w:b/>
          <w:bCs/>
        </w:rPr>
        <w:t>t</w:t>
      </w:r>
      <w:r w:rsidRPr="00331165">
        <w:rPr>
          <w:b/>
          <w:bCs/>
          <w:vertAlign w:val="subscript"/>
        </w:rPr>
        <w:t>SL,target</w:t>
      </w:r>
      <w:proofErr w:type="spellEnd"/>
      <w:r w:rsidRPr="00331165">
        <w:rPr>
          <w:b/>
          <w:bCs/>
          <w:vertAlign w:val="subscript"/>
        </w:rPr>
        <w:t xml:space="preserve"> </w:t>
      </w:r>
      <w:r>
        <w:rPr>
          <w:b/>
          <w:bCs/>
        </w:rPr>
        <w:t xml:space="preserve"> -</w:t>
      </w:r>
      <w:r w:rsidRPr="00331165">
        <w:rPr>
          <w:b/>
          <w:bCs/>
        </w:rPr>
        <w:t xml:space="preserve"> </w:t>
      </w:r>
      <w:proofErr w:type="spellStart"/>
      <w:r w:rsidRPr="00331165">
        <w:rPr>
          <w:b/>
          <w:bCs/>
        </w:rPr>
        <w:t>t</w:t>
      </w:r>
      <w:r w:rsidRPr="00331165">
        <w:rPr>
          <w:b/>
          <w:bCs/>
          <w:vertAlign w:val="subscript"/>
        </w:rPr>
        <w:t>FL,target</w:t>
      </w:r>
      <w:proofErr w:type="spellEnd"/>
      <w:r w:rsidRPr="00331165">
        <w:rPr>
          <w:b/>
          <w:bCs/>
          <w:vertAlign w:val="subscript"/>
        </w:rPr>
        <w:t xml:space="preserve"> </w:t>
      </w:r>
      <w:r>
        <w:rPr>
          <w:b/>
          <w:bCs/>
        </w:rPr>
        <w:t>-</w:t>
      </w:r>
      <w:r w:rsidRPr="00331165">
        <w:rPr>
          <w:b/>
          <w:bCs/>
        </w:rPr>
        <w:t xml:space="preserve"> </w:t>
      </w:r>
      <w:proofErr w:type="spellStart"/>
      <w:r w:rsidRPr="00331165">
        <w:rPr>
          <w:b/>
          <w:bCs/>
        </w:rPr>
        <w:t>t</w:t>
      </w:r>
      <w:r w:rsidRPr="00331165">
        <w:rPr>
          <w:b/>
          <w:bCs/>
          <w:vertAlign w:val="subscript"/>
        </w:rPr>
        <w:t>offset</w:t>
      </w:r>
      <w:proofErr w:type="spellEnd"/>
      <w:r>
        <w:rPr>
          <w:b/>
          <w:bCs/>
          <w:vertAlign w:val="subscript"/>
        </w:rPr>
        <w:t xml:space="preserve">.    </w:t>
      </w:r>
      <w:r w:rsidRPr="002E7CB9">
        <w:rPr>
          <w:b/>
          <w:bCs/>
        </w:rPr>
        <w:t xml:space="preserve"> (1)</w:t>
      </w:r>
    </w:p>
    <w:p w14:paraId="424EF679" w14:textId="77777777" w:rsidR="00430EF3" w:rsidRDefault="00430EF3" w:rsidP="00430EF3">
      <w:pPr>
        <w:rPr>
          <w:b/>
          <w:bCs/>
          <w:vertAlign w:val="subscript"/>
        </w:rPr>
      </w:pPr>
      <w:r w:rsidRPr="006C11A6">
        <w:t xml:space="preserve">We can decompose the total offset value in two components: </w:t>
      </w:r>
      <w:r>
        <w:t xml:space="preserve">one to account for the feeder link delay difference, </w:t>
      </w:r>
      <w:r w:rsidRPr="002E7CB9">
        <w:rPr>
          <w:b/>
          <w:bCs/>
        </w:rPr>
        <w:t>t</w:t>
      </w:r>
      <w:r w:rsidRPr="002E7CB9">
        <w:rPr>
          <w:b/>
          <w:bCs/>
          <w:vertAlign w:val="subscript"/>
        </w:rPr>
        <w:t>0,FL</w:t>
      </w:r>
      <w:r>
        <w:t xml:space="preserve">; and the other accounting for the service link delay difference, </w:t>
      </w:r>
      <w:r w:rsidRPr="002E7CB9">
        <w:rPr>
          <w:b/>
          <w:bCs/>
        </w:rPr>
        <w:t>t</w:t>
      </w:r>
      <w:r w:rsidRPr="002E7CB9">
        <w:rPr>
          <w:b/>
          <w:bCs/>
          <w:vertAlign w:val="subscript"/>
        </w:rPr>
        <w:t>0,</w:t>
      </w:r>
      <w:r>
        <w:rPr>
          <w:b/>
          <w:bCs/>
          <w:vertAlign w:val="subscript"/>
        </w:rPr>
        <w:t>S</w:t>
      </w:r>
      <w:r w:rsidRPr="002E7CB9">
        <w:rPr>
          <w:b/>
          <w:bCs/>
          <w:vertAlign w:val="subscript"/>
        </w:rPr>
        <w:t>L</w:t>
      </w:r>
      <w:r>
        <w:rPr>
          <w:b/>
          <w:bCs/>
          <w:vertAlign w:val="subscript"/>
        </w:rPr>
        <w:t xml:space="preserve">. </w:t>
      </w:r>
      <w:r w:rsidRPr="002E7CB9">
        <w:t>Because</w:t>
      </w:r>
      <w:r>
        <w:t xml:space="preserve"> the feeder link delay difference is deterministic and well-known from the NW point of view, the offset can be set such that  </w:t>
      </w:r>
      <w:r w:rsidRPr="002E7CB9">
        <w:rPr>
          <w:b/>
          <w:bCs/>
        </w:rPr>
        <w:t>t</w:t>
      </w:r>
      <w:r w:rsidRPr="002E7CB9">
        <w:rPr>
          <w:b/>
          <w:bCs/>
          <w:vertAlign w:val="subscript"/>
        </w:rPr>
        <w:t>0,FL</w:t>
      </w:r>
      <w:r>
        <w:rPr>
          <w:b/>
          <w:bCs/>
          <w:vertAlign w:val="subscript"/>
        </w:rPr>
        <w:t xml:space="preserve"> = </w:t>
      </w:r>
      <w:proofErr w:type="spellStart"/>
      <w:r w:rsidRPr="00331165">
        <w:rPr>
          <w:b/>
          <w:bCs/>
        </w:rPr>
        <w:t>t</w:t>
      </w:r>
      <w:r w:rsidRPr="00331165">
        <w:rPr>
          <w:b/>
          <w:bCs/>
          <w:vertAlign w:val="subscript"/>
        </w:rPr>
        <w:t>FL,source</w:t>
      </w:r>
      <w:proofErr w:type="spellEnd"/>
      <w:r>
        <w:rPr>
          <w:b/>
          <w:bCs/>
          <w:vertAlign w:val="subscript"/>
        </w:rPr>
        <w:t xml:space="preserve"> - </w:t>
      </w:r>
      <w:proofErr w:type="spellStart"/>
      <w:r w:rsidRPr="00331165">
        <w:rPr>
          <w:b/>
          <w:bCs/>
        </w:rPr>
        <w:t>t</w:t>
      </w:r>
      <w:r w:rsidRPr="00331165">
        <w:rPr>
          <w:b/>
          <w:bCs/>
          <w:vertAlign w:val="subscript"/>
        </w:rPr>
        <w:t>FL,target</w:t>
      </w:r>
      <w:proofErr w:type="spellEnd"/>
      <w:r>
        <w:rPr>
          <w:b/>
          <w:bCs/>
          <w:vertAlign w:val="subscript"/>
        </w:rPr>
        <w:t xml:space="preserve">. </w:t>
      </w:r>
    </w:p>
    <w:p w14:paraId="6A526675" w14:textId="77777777" w:rsidR="00430EF3" w:rsidRDefault="00430EF3" w:rsidP="00430EF3">
      <w:pPr>
        <w:rPr>
          <w:b/>
          <w:bCs/>
        </w:rPr>
      </w:pPr>
      <w:r>
        <w:rPr>
          <w:b/>
          <w:bCs/>
        </w:rPr>
        <w:t>And as a result, we can re-write (1) as:</w:t>
      </w:r>
    </w:p>
    <w:p w14:paraId="763182EC" w14:textId="18030961" w:rsidR="00430EF3" w:rsidRDefault="00430EF3" w:rsidP="00430EF3">
      <w:pPr>
        <w:jc w:val="center"/>
        <w:rPr>
          <w:b/>
          <w:bCs/>
          <w:vertAlign w:val="subscript"/>
        </w:rPr>
      </w:pPr>
      <w:proofErr w:type="spellStart"/>
      <w:r>
        <w:rPr>
          <w:b/>
          <w:bCs/>
        </w:rPr>
        <w:t>t</w:t>
      </w:r>
      <w:r w:rsidRPr="002E7CB9">
        <w:rPr>
          <w:b/>
          <w:bCs/>
          <w:vertAlign w:val="subscript"/>
        </w:rPr>
        <w:t>diff</w:t>
      </w:r>
      <w:proofErr w:type="spellEnd"/>
      <w:r>
        <w:rPr>
          <w:b/>
          <w:bCs/>
          <w:vertAlign w:val="subscript"/>
        </w:rPr>
        <w:t xml:space="preserve"> </w:t>
      </w:r>
      <w:r w:rsidRPr="002E7CB9">
        <w:rPr>
          <w:b/>
          <w:bCs/>
        </w:rPr>
        <w:t>=</w:t>
      </w:r>
      <w:r>
        <w:rPr>
          <w:b/>
          <w:bCs/>
          <w:vertAlign w:val="subscript"/>
        </w:rPr>
        <w:t xml:space="preserve">  </w:t>
      </w:r>
      <w:proofErr w:type="spellStart"/>
      <w:r w:rsidRPr="00331165">
        <w:rPr>
          <w:b/>
          <w:bCs/>
        </w:rPr>
        <w:t>t</w:t>
      </w:r>
      <w:r w:rsidRPr="00331165">
        <w:rPr>
          <w:b/>
          <w:bCs/>
          <w:vertAlign w:val="subscript"/>
        </w:rPr>
        <w:t>SL,source</w:t>
      </w:r>
      <w:proofErr w:type="spellEnd"/>
      <w:r>
        <w:rPr>
          <w:b/>
          <w:bCs/>
        </w:rPr>
        <w:t xml:space="preserve"> - </w:t>
      </w:r>
      <w:proofErr w:type="spellStart"/>
      <w:r w:rsidRPr="00331165">
        <w:rPr>
          <w:b/>
          <w:bCs/>
        </w:rPr>
        <w:t>t</w:t>
      </w:r>
      <w:r w:rsidRPr="00331165">
        <w:rPr>
          <w:b/>
          <w:bCs/>
          <w:vertAlign w:val="subscript"/>
        </w:rPr>
        <w:t>SL,target</w:t>
      </w:r>
      <w:proofErr w:type="spellEnd"/>
      <w:r w:rsidRPr="00331165">
        <w:rPr>
          <w:b/>
          <w:bCs/>
          <w:vertAlign w:val="subscript"/>
        </w:rPr>
        <w:t xml:space="preserve"> </w:t>
      </w:r>
      <w:r>
        <w:rPr>
          <w:b/>
          <w:bCs/>
        </w:rPr>
        <w:t xml:space="preserve"> -</w:t>
      </w:r>
      <w:r w:rsidRPr="00331165">
        <w:rPr>
          <w:b/>
          <w:bCs/>
        </w:rPr>
        <w:t xml:space="preserve"> </w:t>
      </w:r>
      <w:r w:rsidRPr="002E7CB9">
        <w:rPr>
          <w:b/>
          <w:bCs/>
        </w:rPr>
        <w:t>t</w:t>
      </w:r>
      <w:r w:rsidRPr="002E7CB9">
        <w:rPr>
          <w:b/>
          <w:bCs/>
          <w:vertAlign w:val="subscript"/>
        </w:rPr>
        <w:t>0,</w:t>
      </w:r>
      <w:r>
        <w:rPr>
          <w:b/>
          <w:bCs/>
          <w:vertAlign w:val="subscript"/>
        </w:rPr>
        <w:t>S</w:t>
      </w:r>
      <w:r w:rsidRPr="002E7CB9">
        <w:rPr>
          <w:b/>
          <w:bCs/>
          <w:vertAlign w:val="subscript"/>
        </w:rPr>
        <w:t>L</w:t>
      </w:r>
      <w:r>
        <w:rPr>
          <w:b/>
          <w:bCs/>
          <w:vertAlign w:val="subscript"/>
        </w:rPr>
        <w:t xml:space="preserve">        </w:t>
      </w:r>
      <w:r w:rsidRPr="002E7CB9">
        <w:rPr>
          <w:b/>
          <w:bCs/>
        </w:rPr>
        <w:t xml:space="preserve"> (2)</w:t>
      </w:r>
    </w:p>
    <w:p w14:paraId="64789191" w14:textId="77777777" w:rsidR="00430EF3" w:rsidRDefault="00430EF3" w:rsidP="00430EF3">
      <w:r w:rsidRPr="002E7CB9">
        <w:t xml:space="preserve">For each UE </w:t>
      </w:r>
      <w:r>
        <w:t xml:space="preserve">in the cell, the value  of </w:t>
      </w:r>
      <w:proofErr w:type="spellStart"/>
      <w:r>
        <w:t>t</w:t>
      </w:r>
      <w:r w:rsidRPr="002E7CB9">
        <w:rPr>
          <w:vertAlign w:val="subscript"/>
        </w:rPr>
        <w:t>diff</w:t>
      </w:r>
      <w:proofErr w:type="spellEnd"/>
      <w:r w:rsidRPr="002E7CB9">
        <w:rPr>
          <w:vertAlign w:val="subscript"/>
        </w:rPr>
        <w:t xml:space="preserve"> </w:t>
      </w:r>
      <w:r w:rsidRPr="00941C56">
        <w:t xml:space="preserve"> </w:t>
      </w:r>
      <w:r>
        <w:t xml:space="preserve">in equation 2 </w:t>
      </w:r>
      <w:proofErr w:type="gramStart"/>
      <w:r>
        <w:t>has to</w:t>
      </w:r>
      <w:proofErr w:type="gramEnd"/>
      <w:r>
        <w:t xml:space="preserve"> be outside the mentioned range above [-5, 5 ms] + </w:t>
      </w:r>
      <w:r w:rsidRPr="006C11A6">
        <w:rPr>
          <w:b/>
          <w:bCs/>
        </w:rPr>
        <w:t>t</w:t>
      </w:r>
      <w:r w:rsidRPr="006C11A6">
        <w:rPr>
          <w:b/>
          <w:bCs/>
          <w:vertAlign w:val="subscript"/>
        </w:rPr>
        <w:t>0</w:t>
      </w:r>
      <w:r>
        <w:t xml:space="preserve">. </w:t>
      </w:r>
    </w:p>
    <w:p w14:paraId="00754F02" w14:textId="389D15B0" w:rsidR="00430EF3" w:rsidRDefault="00430EF3" w:rsidP="00430EF3">
      <w:pPr>
        <w:rPr>
          <w:b/>
          <w:bCs/>
        </w:rPr>
      </w:pPr>
      <w:r>
        <w:t>It is important to observe that the value of (</w:t>
      </w:r>
      <w:proofErr w:type="spellStart"/>
      <w:r w:rsidRPr="00331165">
        <w:rPr>
          <w:b/>
          <w:bCs/>
        </w:rPr>
        <w:t>t</w:t>
      </w:r>
      <w:r w:rsidRPr="00331165">
        <w:rPr>
          <w:b/>
          <w:bCs/>
          <w:vertAlign w:val="subscript"/>
        </w:rPr>
        <w:t>SL,source</w:t>
      </w:r>
      <w:proofErr w:type="spellEnd"/>
      <w:r>
        <w:rPr>
          <w:b/>
          <w:bCs/>
        </w:rPr>
        <w:t xml:space="preserve"> - </w:t>
      </w:r>
      <w:proofErr w:type="spellStart"/>
      <w:r w:rsidRPr="00331165">
        <w:rPr>
          <w:b/>
          <w:bCs/>
        </w:rPr>
        <w:t>t</w:t>
      </w:r>
      <w:r w:rsidRPr="00331165">
        <w:rPr>
          <w:b/>
          <w:bCs/>
          <w:vertAlign w:val="subscript"/>
        </w:rPr>
        <w:t>SL,target</w:t>
      </w:r>
      <w:proofErr w:type="spellEnd"/>
      <w:r w:rsidRPr="00331165">
        <w:rPr>
          <w:b/>
          <w:bCs/>
          <w:vertAlign w:val="subscript"/>
        </w:rPr>
        <w:t xml:space="preserve"> </w:t>
      </w:r>
      <w:r>
        <w:rPr>
          <w:b/>
          <w:bCs/>
        </w:rPr>
        <w:t xml:space="preserve">) </w:t>
      </w:r>
      <w:r w:rsidRPr="009151FA">
        <w:t xml:space="preserve">may vary significantly for different UEs in a cell, for example, consider the scenario depicted in </w:t>
      </w:r>
      <w:r w:rsidRPr="009151FA">
        <w:fldChar w:fldCharType="begin"/>
      </w:r>
      <w:r w:rsidRPr="009151FA">
        <w:instrText xml:space="preserve"> REF _Ref158813329 \h </w:instrText>
      </w:r>
      <w:r>
        <w:instrText xml:space="preserve"> \* MERGEFORMAT </w:instrText>
      </w:r>
      <w:r w:rsidRPr="009151FA">
        <w:fldChar w:fldCharType="separate"/>
      </w:r>
      <w:r w:rsidRPr="009151FA">
        <w:t xml:space="preserve">Figure </w:t>
      </w:r>
      <w:r w:rsidRPr="009151FA">
        <w:rPr>
          <w:noProof/>
        </w:rPr>
        <w:t>2</w:t>
      </w:r>
      <w:r w:rsidRPr="009151FA">
        <w:fldChar w:fldCharType="end"/>
      </w:r>
      <w:r>
        <w:t xml:space="preserve">. The broadcasted value of the offset is the same for all 3 UEs, and therefore shall be sufficient to avoid overlapping between SSBs. Considering a NGSO system operating at 1200 km as worst case scenario, and using the reference numbers provided in TS 38.821 </w:t>
      </w:r>
      <w:r>
        <w:fldChar w:fldCharType="begin"/>
      </w:r>
      <w:r>
        <w:instrText xml:space="preserve"> REF _Ref158813489 \n \h </w:instrText>
      </w:r>
      <w:r>
        <w:fldChar w:fldCharType="separate"/>
      </w:r>
      <w:r>
        <w:t>[5]</w:t>
      </w:r>
      <w:r>
        <w:fldChar w:fldCharType="end"/>
      </w:r>
      <w:r>
        <w:t xml:space="preserve"> for minimum and maximum propagation delay between a UE and a satellite (4 and 12.9 ms) and the maximum delay difference between two UEs and a the same satellite within the same radio (3.18 ms), the following assumptions can be made for UEs with index </w:t>
      </w:r>
      <w:proofErr w:type="spellStart"/>
      <w:r>
        <w:t>i</w:t>
      </w:r>
      <w:proofErr w:type="spellEnd"/>
      <w:r>
        <w:t xml:space="preserve"> and j:</w:t>
      </w:r>
    </w:p>
    <w:p w14:paraId="2F649F59" w14:textId="77777777" w:rsidR="00430EF3" w:rsidRDefault="00430EF3" w:rsidP="00430EF3">
      <w:pPr>
        <w:pStyle w:val="ListParagraph"/>
        <w:numPr>
          <w:ilvl w:val="0"/>
          <w:numId w:val="33"/>
        </w:numPr>
      </w:pPr>
      <w:r>
        <w:t>Max(</w:t>
      </w:r>
      <w:proofErr w:type="spellStart"/>
      <w:r w:rsidRPr="00331165">
        <w:rPr>
          <w:b/>
          <w:bCs/>
        </w:rPr>
        <w:t>t</w:t>
      </w:r>
      <w:r w:rsidRPr="00331165">
        <w:rPr>
          <w:b/>
          <w:bCs/>
          <w:vertAlign w:val="subscript"/>
        </w:rPr>
        <w:t>SL,source</w:t>
      </w:r>
      <w:r>
        <w:rPr>
          <w:b/>
          <w:bCs/>
          <w:vertAlign w:val="subscript"/>
        </w:rPr>
        <w:t>,i</w:t>
      </w:r>
      <w:proofErr w:type="spellEnd"/>
      <w:r>
        <w:rPr>
          <w:b/>
          <w:bCs/>
        </w:rPr>
        <w:t xml:space="preserve"> - </w:t>
      </w:r>
      <w:proofErr w:type="spellStart"/>
      <w:r w:rsidRPr="00331165">
        <w:rPr>
          <w:b/>
          <w:bCs/>
        </w:rPr>
        <w:t>t</w:t>
      </w:r>
      <w:r w:rsidRPr="00331165">
        <w:rPr>
          <w:b/>
          <w:bCs/>
          <w:vertAlign w:val="subscript"/>
        </w:rPr>
        <w:t>SL,target</w:t>
      </w:r>
      <w:proofErr w:type="spellEnd"/>
      <w:r w:rsidRPr="00331165">
        <w:rPr>
          <w:b/>
          <w:bCs/>
          <w:vertAlign w:val="subscript"/>
        </w:rPr>
        <w:t xml:space="preserve"> </w:t>
      </w:r>
      <w:proofErr w:type="spellStart"/>
      <w:r>
        <w:rPr>
          <w:b/>
          <w:bCs/>
          <w:vertAlign w:val="subscript"/>
        </w:rPr>
        <w:t>i</w:t>
      </w:r>
      <w:proofErr w:type="spellEnd"/>
      <w:r>
        <w:rPr>
          <w:b/>
          <w:bCs/>
        </w:rPr>
        <w:t xml:space="preserve">  </w:t>
      </w:r>
      <w:r>
        <w:t>) - Min(</w:t>
      </w:r>
      <w:proofErr w:type="spellStart"/>
      <w:r w:rsidRPr="00331165">
        <w:rPr>
          <w:b/>
          <w:bCs/>
        </w:rPr>
        <w:t>t</w:t>
      </w:r>
      <w:r w:rsidRPr="00331165">
        <w:rPr>
          <w:b/>
          <w:bCs/>
          <w:vertAlign w:val="subscript"/>
        </w:rPr>
        <w:t>SL,source</w:t>
      </w:r>
      <w:r>
        <w:rPr>
          <w:b/>
          <w:bCs/>
          <w:vertAlign w:val="subscript"/>
        </w:rPr>
        <w:t>,j</w:t>
      </w:r>
      <w:proofErr w:type="spellEnd"/>
      <w:r>
        <w:rPr>
          <w:b/>
          <w:bCs/>
        </w:rPr>
        <w:t xml:space="preserve"> - </w:t>
      </w:r>
      <w:proofErr w:type="spellStart"/>
      <w:r w:rsidRPr="00331165">
        <w:rPr>
          <w:b/>
          <w:bCs/>
        </w:rPr>
        <w:t>t</w:t>
      </w:r>
      <w:r w:rsidRPr="00331165">
        <w:rPr>
          <w:b/>
          <w:bCs/>
          <w:vertAlign w:val="subscript"/>
        </w:rPr>
        <w:t>SL,target</w:t>
      </w:r>
      <w:proofErr w:type="spellEnd"/>
      <w:r w:rsidRPr="00331165">
        <w:rPr>
          <w:b/>
          <w:bCs/>
          <w:vertAlign w:val="subscript"/>
        </w:rPr>
        <w:t xml:space="preserve"> </w:t>
      </w:r>
      <w:r>
        <w:rPr>
          <w:b/>
          <w:bCs/>
          <w:vertAlign w:val="subscript"/>
        </w:rPr>
        <w:t>,j</w:t>
      </w:r>
      <w:r>
        <w:rPr>
          <w:b/>
          <w:bCs/>
        </w:rPr>
        <w:t xml:space="preserve">  </w:t>
      </w:r>
      <w:r>
        <w:t xml:space="preserve">) = 6,36 ms. </w:t>
      </w:r>
    </w:p>
    <w:p w14:paraId="4241E5D6" w14:textId="77777777" w:rsidR="00430EF3" w:rsidRDefault="00430EF3" w:rsidP="00430EF3"/>
    <w:p w14:paraId="2A92D036" w14:textId="6EA1EE88" w:rsidR="006F15EA" w:rsidRDefault="006F15EA" w:rsidP="006F15EA">
      <w:r>
        <w:t xml:space="preserve">For GSO, however, the maximum differential delay between two UEs in the same cell is up to 10.3 ms. As such, it is not possible guarantee total separation for the two overlap instances for every UE in this cell: </w:t>
      </w:r>
    </w:p>
    <w:p w14:paraId="46D1D615" w14:textId="1C9E9EE9" w:rsidR="006F15EA" w:rsidRDefault="006F15EA" w:rsidP="006F15EA">
      <w:pPr>
        <w:pStyle w:val="ListParagraph"/>
        <w:numPr>
          <w:ilvl w:val="0"/>
          <w:numId w:val="33"/>
        </w:numPr>
      </w:pPr>
      <w:r>
        <w:t>Max(</w:t>
      </w:r>
      <w:proofErr w:type="spellStart"/>
      <w:r w:rsidRPr="00331165">
        <w:rPr>
          <w:b/>
          <w:bCs/>
        </w:rPr>
        <w:t>t</w:t>
      </w:r>
      <w:r w:rsidRPr="00331165">
        <w:rPr>
          <w:b/>
          <w:bCs/>
          <w:vertAlign w:val="subscript"/>
        </w:rPr>
        <w:t>SL,source</w:t>
      </w:r>
      <w:r>
        <w:rPr>
          <w:b/>
          <w:bCs/>
          <w:vertAlign w:val="subscript"/>
        </w:rPr>
        <w:t>,i</w:t>
      </w:r>
      <w:proofErr w:type="spellEnd"/>
      <w:r>
        <w:rPr>
          <w:b/>
          <w:bCs/>
        </w:rPr>
        <w:t xml:space="preserve"> - </w:t>
      </w:r>
      <w:proofErr w:type="spellStart"/>
      <w:r w:rsidRPr="00331165">
        <w:rPr>
          <w:b/>
          <w:bCs/>
        </w:rPr>
        <w:t>t</w:t>
      </w:r>
      <w:r w:rsidRPr="00331165">
        <w:rPr>
          <w:b/>
          <w:bCs/>
          <w:vertAlign w:val="subscript"/>
        </w:rPr>
        <w:t>SL,target</w:t>
      </w:r>
      <w:proofErr w:type="spellEnd"/>
      <w:r w:rsidRPr="00331165">
        <w:rPr>
          <w:b/>
          <w:bCs/>
          <w:vertAlign w:val="subscript"/>
        </w:rPr>
        <w:t xml:space="preserve"> </w:t>
      </w:r>
      <w:proofErr w:type="spellStart"/>
      <w:r>
        <w:rPr>
          <w:b/>
          <w:bCs/>
          <w:vertAlign w:val="subscript"/>
        </w:rPr>
        <w:t>i</w:t>
      </w:r>
      <w:proofErr w:type="spellEnd"/>
      <w:r>
        <w:rPr>
          <w:b/>
          <w:bCs/>
        </w:rPr>
        <w:t xml:space="preserve">  </w:t>
      </w:r>
      <w:r>
        <w:t>) - Min(</w:t>
      </w:r>
      <w:proofErr w:type="spellStart"/>
      <w:r w:rsidRPr="00331165">
        <w:rPr>
          <w:b/>
          <w:bCs/>
        </w:rPr>
        <w:t>t</w:t>
      </w:r>
      <w:r w:rsidRPr="00331165">
        <w:rPr>
          <w:b/>
          <w:bCs/>
          <w:vertAlign w:val="subscript"/>
        </w:rPr>
        <w:t>SL,source</w:t>
      </w:r>
      <w:r>
        <w:rPr>
          <w:b/>
          <w:bCs/>
          <w:vertAlign w:val="subscript"/>
        </w:rPr>
        <w:t>,j</w:t>
      </w:r>
      <w:proofErr w:type="spellEnd"/>
      <w:r>
        <w:rPr>
          <w:b/>
          <w:bCs/>
        </w:rPr>
        <w:t xml:space="preserve"> - </w:t>
      </w:r>
      <w:proofErr w:type="spellStart"/>
      <w:r w:rsidRPr="00331165">
        <w:rPr>
          <w:b/>
          <w:bCs/>
        </w:rPr>
        <w:t>t</w:t>
      </w:r>
      <w:r w:rsidRPr="00331165">
        <w:rPr>
          <w:b/>
          <w:bCs/>
          <w:vertAlign w:val="subscript"/>
        </w:rPr>
        <w:t>SL,target</w:t>
      </w:r>
      <w:proofErr w:type="spellEnd"/>
      <w:r w:rsidRPr="00331165">
        <w:rPr>
          <w:b/>
          <w:bCs/>
          <w:vertAlign w:val="subscript"/>
        </w:rPr>
        <w:t xml:space="preserve"> </w:t>
      </w:r>
      <w:r>
        <w:rPr>
          <w:b/>
          <w:bCs/>
          <w:vertAlign w:val="subscript"/>
        </w:rPr>
        <w:t>,j</w:t>
      </w:r>
      <w:r>
        <w:rPr>
          <w:b/>
          <w:bCs/>
        </w:rPr>
        <w:t xml:space="preserve">  </w:t>
      </w:r>
      <w:r>
        <w:t xml:space="preserve">) = 20,6 ms. </w:t>
      </w:r>
    </w:p>
    <w:p w14:paraId="58070D8D" w14:textId="77777777" w:rsidR="006F15EA" w:rsidRDefault="006F15EA" w:rsidP="00430EF3"/>
    <w:p w14:paraId="751B132D" w14:textId="01D1EA95" w:rsidR="00430EF3" w:rsidRDefault="00430EF3" w:rsidP="00430EF3">
      <w:r>
        <w:t xml:space="preserve">Therefore, </w:t>
      </w:r>
      <w:proofErr w:type="gramStart"/>
      <w:r>
        <w:t>it</w:t>
      </w:r>
      <w:proofErr w:type="gramEnd"/>
      <w:r>
        <w:t xml:space="preserve"> </w:t>
      </w:r>
      <w:r w:rsidR="006F15EA">
        <w:t>terms of feasibility of non-overlapping SSB allocations:</w:t>
      </w:r>
    </w:p>
    <w:p w14:paraId="70BC23A1" w14:textId="70A85FC2" w:rsidR="00430EF3" w:rsidRDefault="00430EF3" w:rsidP="006F15EA">
      <w:pPr>
        <w:pStyle w:val="ListParagraph"/>
        <w:numPr>
          <w:ilvl w:val="0"/>
          <w:numId w:val="33"/>
        </w:numPr>
      </w:pPr>
      <w:r>
        <w:t xml:space="preserve">For NGSO, it is possible to guarantee that a proper offset can be set in any scenario to avoid overlap between SSBs. </w:t>
      </w:r>
    </w:p>
    <w:p w14:paraId="00EF4DE3" w14:textId="674A1512" w:rsidR="006F15EA" w:rsidRDefault="006F15EA" w:rsidP="006F15EA">
      <w:pPr>
        <w:pStyle w:val="ListParagraph"/>
        <w:numPr>
          <w:ilvl w:val="0"/>
          <w:numId w:val="33"/>
        </w:numPr>
      </w:pPr>
      <w:r>
        <w:t xml:space="preserve">For GSO, it is not always possible to guarantee non overlapping SSB at UE reception in every scenario simply based on offset. </w:t>
      </w:r>
    </w:p>
    <w:p w14:paraId="2ABB91FF" w14:textId="77777777" w:rsidR="00430EF3" w:rsidRDefault="00430EF3" w:rsidP="00430EF3"/>
    <w:p w14:paraId="78DCA5CC" w14:textId="77777777" w:rsidR="00430EF3" w:rsidRDefault="00430EF3" w:rsidP="00430EF3">
      <w:pPr>
        <w:keepNext/>
      </w:pPr>
      <w:r>
        <w:rPr>
          <w:noProof/>
        </w:rPr>
        <w:drawing>
          <wp:inline distT="0" distB="0" distL="0" distR="0" wp14:anchorId="270A107B" wp14:editId="482700FF">
            <wp:extent cx="6078220" cy="2454742"/>
            <wp:effectExtent l="0" t="0" r="0" b="0"/>
            <wp:docPr id="378549775" name="Picture 378549775" descr="A screen shot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549775" name="Picture 1" descr="A screen shot of a screen&#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8220" cy="2454742"/>
                    </a:xfrm>
                    <a:prstGeom prst="rect">
                      <a:avLst/>
                    </a:prstGeom>
                    <a:noFill/>
                  </pic:spPr>
                </pic:pic>
              </a:graphicData>
            </a:graphic>
          </wp:inline>
        </w:drawing>
      </w:r>
    </w:p>
    <w:p w14:paraId="43D16BDC" w14:textId="77777777" w:rsidR="00430EF3" w:rsidRDefault="00430EF3" w:rsidP="00430EF3">
      <w:pPr>
        <w:pStyle w:val="Caption"/>
        <w:jc w:val="left"/>
      </w:pPr>
      <w:bookmarkStart w:id="32" w:name="_Ref158813329"/>
      <w:r>
        <w:t xml:space="preserve">Figure </w:t>
      </w:r>
      <w:r>
        <w:fldChar w:fldCharType="begin"/>
      </w:r>
      <w:r>
        <w:instrText xml:space="preserve"> SEQ Figure \* ARABIC </w:instrText>
      </w:r>
      <w:r>
        <w:fldChar w:fldCharType="separate"/>
      </w:r>
      <w:r>
        <w:rPr>
          <w:noProof/>
        </w:rPr>
        <w:t>2</w:t>
      </w:r>
      <w:r>
        <w:fldChar w:fldCharType="end"/>
      </w:r>
      <w:bookmarkEnd w:id="32"/>
      <w:r>
        <w:t xml:space="preserve">. Typical scenario for satellite switch with re-sync with multiple UEs in the cell. </w:t>
      </w:r>
    </w:p>
    <w:p w14:paraId="2A62CDE7" w14:textId="77777777" w:rsidR="00430EF3" w:rsidRPr="00381F95" w:rsidRDefault="00430EF3" w:rsidP="008C39F7"/>
    <w:p w14:paraId="2FE3B6D0" w14:textId="77777777" w:rsidR="003B659E" w:rsidRPr="00381F95" w:rsidRDefault="003B659E" w:rsidP="0060543D">
      <w:pPr>
        <w:pStyle w:val="RAN4H1"/>
        <w:numPr>
          <w:ilvl w:val="0"/>
          <w:numId w:val="0"/>
        </w:numPr>
        <w:ind w:left="360" w:hanging="360"/>
      </w:pPr>
      <w:r w:rsidRPr="00381F95">
        <w:t>References</w:t>
      </w:r>
      <w:bookmarkEnd w:id="30"/>
    </w:p>
    <w:p w14:paraId="56242FA0" w14:textId="70E70FF1" w:rsidR="00D81C89" w:rsidRDefault="00D81C89" w:rsidP="00D81C89">
      <w:pPr>
        <w:numPr>
          <w:ilvl w:val="0"/>
          <w:numId w:val="21"/>
        </w:numPr>
        <w:overflowPunct w:val="0"/>
        <w:autoSpaceDE w:val="0"/>
        <w:autoSpaceDN w:val="0"/>
        <w:adjustRightInd w:val="0"/>
        <w:spacing w:after="0" w:line="240" w:lineRule="auto"/>
        <w:jc w:val="both"/>
        <w:textAlignment w:val="baseline"/>
      </w:pPr>
      <w:bookmarkStart w:id="33" w:name="_Ref114500673"/>
      <w:bookmarkStart w:id="34" w:name="_Ref54013899"/>
      <w:bookmarkStart w:id="35" w:name="_Ref141960737"/>
      <w:bookmarkEnd w:id="33"/>
      <w:r w:rsidRPr="00FD51CE">
        <w:t>RP-223534</w:t>
      </w:r>
      <w:r w:rsidRPr="00FF6B64">
        <w:t xml:space="preserve">, </w:t>
      </w:r>
      <w:bookmarkEnd w:id="34"/>
      <w:r w:rsidR="00917899" w:rsidRPr="00917899">
        <w:rPr>
          <w:i/>
          <w:iCs/>
        </w:rPr>
        <w:t>“</w:t>
      </w:r>
      <w:r w:rsidRPr="00917899">
        <w:rPr>
          <w:i/>
          <w:iCs/>
        </w:rPr>
        <w:t>NR NTN (Non-Terrestrial Networks) enhancements</w:t>
      </w:r>
      <w:r w:rsidR="00917899" w:rsidRPr="00917899">
        <w:rPr>
          <w:i/>
          <w:iCs/>
        </w:rPr>
        <w:t>”</w:t>
      </w:r>
      <w:r>
        <w:t>, Thales</w:t>
      </w:r>
      <w:bookmarkEnd w:id="35"/>
    </w:p>
    <w:p w14:paraId="04E30DE1" w14:textId="0F0EFD4D" w:rsidR="000040DC" w:rsidRPr="00381F95" w:rsidRDefault="00917899" w:rsidP="000040DC">
      <w:pPr>
        <w:pStyle w:val="ListParagraph"/>
        <w:numPr>
          <w:ilvl w:val="0"/>
          <w:numId w:val="21"/>
        </w:numPr>
        <w:ind w:right="-22"/>
      </w:pPr>
      <w:bookmarkStart w:id="36" w:name="_Ref158196476"/>
      <w:r w:rsidRPr="00917899">
        <w:t>R2-2314016</w:t>
      </w:r>
      <w:r w:rsidR="000040DC" w:rsidRPr="00381F95">
        <w:t xml:space="preserve">, </w:t>
      </w:r>
      <w:r w:rsidRPr="00917899">
        <w:rPr>
          <w:i/>
          <w:iCs/>
        </w:rPr>
        <w:t>“LS on RAN2 agreements for satellite switch with resync”</w:t>
      </w:r>
      <w:r w:rsidR="000040DC" w:rsidRPr="00381F95">
        <w:t xml:space="preserve">, </w:t>
      </w:r>
      <w:r>
        <w:t>Apple</w:t>
      </w:r>
      <w:r w:rsidR="00B408B6" w:rsidRPr="00381F95">
        <w:t xml:space="preserve">, </w:t>
      </w:r>
      <w:r w:rsidR="000040DC" w:rsidRPr="00381F95">
        <w:t>RAN</w:t>
      </w:r>
      <w:r>
        <w:t>2</w:t>
      </w:r>
      <w:r w:rsidR="000040DC" w:rsidRPr="00381F95">
        <w:t>#1</w:t>
      </w:r>
      <w:r>
        <w:t>24</w:t>
      </w:r>
      <w:r w:rsidR="005B3029" w:rsidRPr="00381F95">
        <w:t>bis</w:t>
      </w:r>
      <w:r w:rsidR="000040DC" w:rsidRPr="00381F95">
        <w:t xml:space="preserve">, </w:t>
      </w:r>
      <w:r>
        <w:t>Chicago</w:t>
      </w:r>
      <w:r w:rsidR="005B3029" w:rsidRPr="00381F95">
        <w:t xml:space="preserve">, </w:t>
      </w:r>
      <w:r>
        <w:t>USA</w:t>
      </w:r>
      <w:r w:rsidR="005B3029" w:rsidRPr="00381F95">
        <w:t xml:space="preserve">, </w:t>
      </w:r>
      <w:r>
        <w:t>Nov</w:t>
      </w:r>
      <w:r w:rsidR="005B3029" w:rsidRPr="00381F95">
        <w:t xml:space="preserve"> 13</w:t>
      </w:r>
      <w:r>
        <w:t xml:space="preserve"> – Nov 17</w:t>
      </w:r>
      <w:r w:rsidR="005B3029" w:rsidRPr="00381F95">
        <w:t>, 2023</w:t>
      </w:r>
      <w:r w:rsidR="000040DC" w:rsidRPr="00381F95">
        <w:t>.</w:t>
      </w:r>
      <w:bookmarkEnd w:id="36"/>
    </w:p>
    <w:p w14:paraId="64E8ABEA" w14:textId="4D6F9EF1" w:rsidR="00917899" w:rsidRPr="00381F95" w:rsidRDefault="00917899" w:rsidP="00917899">
      <w:pPr>
        <w:pStyle w:val="ListParagraph"/>
        <w:numPr>
          <w:ilvl w:val="0"/>
          <w:numId w:val="21"/>
        </w:numPr>
        <w:ind w:right="-22"/>
      </w:pPr>
      <w:bookmarkStart w:id="37" w:name="_Ref158386928"/>
      <w:r w:rsidRPr="00917899">
        <w:t>R2-2313877</w:t>
      </w:r>
      <w:r w:rsidRPr="00381F95">
        <w:t xml:space="preserve">, </w:t>
      </w:r>
      <w:r w:rsidRPr="00917899">
        <w:rPr>
          <w:i/>
          <w:iCs/>
        </w:rPr>
        <w:t>“RACH-less satellite switch procedure”</w:t>
      </w:r>
      <w:r w:rsidRPr="00381F95">
        <w:t xml:space="preserve">, </w:t>
      </w:r>
      <w:r>
        <w:t>Apple</w:t>
      </w:r>
      <w:r w:rsidRPr="00381F95">
        <w:t>, RAN</w:t>
      </w:r>
      <w:r>
        <w:t>2</w:t>
      </w:r>
      <w:r w:rsidRPr="00381F95">
        <w:t>#1</w:t>
      </w:r>
      <w:r>
        <w:t>24</w:t>
      </w:r>
      <w:r w:rsidRPr="00381F95">
        <w:t xml:space="preserve">bis, </w:t>
      </w:r>
      <w:r>
        <w:t>Chicago</w:t>
      </w:r>
      <w:r w:rsidRPr="00381F95">
        <w:t xml:space="preserve">, </w:t>
      </w:r>
      <w:r>
        <w:t>USA</w:t>
      </w:r>
      <w:r w:rsidRPr="00381F95">
        <w:t xml:space="preserve">, </w:t>
      </w:r>
      <w:r>
        <w:t>Nov</w:t>
      </w:r>
      <w:r w:rsidRPr="00381F95">
        <w:t xml:space="preserve"> 13</w:t>
      </w:r>
      <w:r>
        <w:t xml:space="preserve"> – Nov 17</w:t>
      </w:r>
      <w:r w:rsidRPr="00381F95">
        <w:t>, 2023.</w:t>
      </w:r>
      <w:bookmarkEnd w:id="37"/>
    </w:p>
    <w:p w14:paraId="5CEB1CF0" w14:textId="56908514" w:rsidR="00E43BF9" w:rsidRDefault="0043217D">
      <w:pPr>
        <w:pStyle w:val="ListParagraph"/>
        <w:numPr>
          <w:ilvl w:val="0"/>
          <w:numId w:val="21"/>
        </w:numPr>
        <w:ind w:right="-22"/>
      </w:pPr>
      <w:bookmarkStart w:id="38" w:name="_Ref118130196"/>
      <w:r w:rsidRPr="0043217D">
        <w:rPr>
          <w:rFonts w:cs="Arial"/>
          <w:sz w:val="18"/>
          <w:szCs w:val="18"/>
        </w:rPr>
        <w:t xml:space="preserve">TS 38.331. </w:t>
      </w:r>
      <w:r w:rsidRPr="0043217D">
        <w:rPr>
          <w:rFonts w:cs="Arial"/>
          <w:i/>
          <w:iCs/>
          <w:sz w:val="18"/>
          <w:szCs w:val="18"/>
        </w:rPr>
        <w:t xml:space="preserve">NR; </w:t>
      </w:r>
      <w:r w:rsidRPr="0043217D">
        <w:rPr>
          <w:rFonts w:ascii="Arial" w:hAnsi="Arial" w:cs="Arial"/>
          <w:i/>
          <w:iCs/>
          <w:color w:val="000000"/>
          <w:sz w:val="18"/>
          <w:szCs w:val="18"/>
        </w:rPr>
        <w:t>Radio Resource Control (RRC); Protocol specification</w:t>
      </w:r>
      <w:r w:rsidRPr="0043217D">
        <w:rPr>
          <w:rFonts w:cs="Arial"/>
          <w:sz w:val="18"/>
          <w:szCs w:val="18"/>
        </w:rPr>
        <w:t>. V18.0.0. 3GPP</w:t>
      </w:r>
      <w:bookmarkEnd w:id="38"/>
      <w:r>
        <w:t xml:space="preserve">. </w:t>
      </w:r>
    </w:p>
    <w:p w14:paraId="10EE02EB" w14:textId="2C0B32F2" w:rsidR="009151FA" w:rsidRPr="00381F95" w:rsidRDefault="009151FA" w:rsidP="009151FA">
      <w:pPr>
        <w:pStyle w:val="ListParagraph"/>
        <w:numPr>
          <w:ilvl w:val="0"/>
          <w:numId w:val="21"/>
        </w:numPr>
        <w:ind w:right="-22"/>
      </w:pPr>
      <w:bookmarkStart w:id="39" w:name="_Ref158813489"/>
      <w:r w:rsidRPr="0043217D">
        <w:rPr>
          <w:rFonts w:cs="Arial"/>
          <w:sz w:val="18"/>
          <w:szCs w:val="18"/>
        </w:rPr>
        <w:t>T</w:t>
      </w:r>
      <w:r>
        <w:rPr>
          <w:rFonts w:cs="Arial"/>
          <w:sz w:val="18"/>
          <w:szCs w:val="18"/>
        </w:rPr>
        <w:t>R</w:t>
      </w:r>
      <w:r w:rsidRPr="0043217D">
        <w:rPr>
          <w:rFonts w:cs="Arial"/>
          <w:sz w:val="18"/>
          <w:szCs w:val="18"/>
        </w:rPr>
        <w:t xml:space="preserve"> 38.</w:t>
      </w:r>
      <w:r>
        <w:rPr>
          <w:rFonts w:cs="Arial"/>
          <w:sz w:val="18"/>
          <w:szCs w:val="18"/>
        </w:rPr>
        <w:t>821</w:t>
      </w:r>
      <w:r w:rsidRPr="0043217D">
        <w:rPr>
          <w:rFonts w:cs="Arial"/>
          <w:sz w:val="18"/>
          <w:szCs w:val="18"/>
        </w:rPr>
        <w:t xml:space="preserve">. </w:t>
      </w:r>
      <w:r w:rsidRPr="009151FA">
        <w:rPr>
          <w:rFonts w:cs="Arial"/>
          <w:i/>
          <w:iCs/>
          <w:sz w:val="18"/>
          <w:szCs w:val="18"/>
        </w:rPr>
        <w:t>Solutions for NR to support non-terrestrial networks (NTN)</w:t>
      </w:r>
      <w:r w:rsidRPr="0043217D">
        <w:rPr>
          <w:rFonts w:cs="Arial"/>
          <w:sz w:val="18"/>
          <w:szCs w:val="18"/>
        </w:rPr>
        <w:t>. V1</w:t>
      </w:r>
      <w:r>
        <w:rPr>
          <w:rFonts w:cs="Arial"/>
          <w:sz w:val="18"/>
          <w:szCs w:val="18"/>
        </w:rPr>
        <w:t>8</w:t>
      </w:r>
      <w:r w:rsidRPr="0043217D">
        <w:rPr>
          <w:rFonts w:cs="Arial"/>
          <w:sz w:val="18"/>
          <w:szCs w:val="18"/>
        </w:rPr>
        <w:t>.0.0. 3GPP</w:t>
      </w:r>
      <w:r>
        <w:t>.</w:t>
      </w:r>
      <w:bookmarkEnd w:id="39"/>
      <w:r>
        <w:t xml:space="preserve"> </w:t>
      </w:r>
    </w:p>
    <w:p w14:paraId="6B3CA760" w14:textId="62D7F514" w:rsidR="009151FA" w:rsidRPr="0099133A" w:rsidRDefault="0099133A">
      <w:pPr>
        <w:pStyle w:val="ListParagraph"/>
        <w:numPr>
          <w:ilvl w:val="0"/>
          <w:numId w:val="21"/>
        </w:numPr>
        <w:ind w:right="-22"/>
      </w:pPr>
      <w:bookmarkStart w:id="40" w:name="_Ref158818293"/>
      <w:r w:rsidRPr="0099133A">
        <w:t>R4-2321362</w:t>
      </w:r>
      <w:r>
        <w:t xml:space="preserve">, </w:t>
      </w:r>
      <w:r w:rsidRPr="0099133A">
        <w:rPr>
          <w:rFonts w:cs="Arial"/>
          <w:i/>
          <w:iCs/>
          <w:sz w:val="18"/>
          <w:szCs w:val="18"/>
        </w:rPr>
        <w:t>WF on NTN RRM requirements</w:t>
      </w:r>
      <w:r>
        <w:rPr>
          <w:rFonts w:cs="Arial"/>
          <w:i/>
          <w:iCs/>
          <w:sz w:val="18"/>
          <w:szCs w:val="18"/>
        </w:rPr>
        <w:t xml:space="preserve">, </w:t>
      </w:r>
      <w:r w:rsidRPr="0099133A">
        <w:t xml:space="preserve">Moderator (Qualcomm Incorporated), </w:t>
      </w:r>
      <w:r w:rsidRPr="00381F95">
        <w:t>RAN</w:t>
      </w:r>
      <w:r>
        <w:t>4</w:t>
      </w:r>
      <w:r w:rsidRPr="00381F95">
        <w:t>#1</w:t>
      </w:r>
      <w:r>
        <w:t>09</w:t>
      </w:r>
      <w:r w:rsidRPr="00381F95">
        <w:t xml:space="preserve">, </w:t>
      </w:r>
      <w:r>
        <w:t>Chicago</w:t>
      </w:r>
      <w:r w:rsidRPr="00381F95">
        <w:t xml:space="preserve">, </w:t>
      </w:r>
      <w:r>
        <w:t>USA</w:t>
      </w:r>
      <w:r w:rsidRPr="00381F95">
        <w:t xml:space="preserve">, </w:t>
      </w:r>
      <w:r>
        <w:t>Nov</w:t>
      </w:r>
      <w:r w:rsidRPr="00381F95">
        <w:t xml:space="preserve"> 13</w:t>
      </w:r>
      <w:r>
        <w:t xml:space="preserve"> – Nov 17</w:t>
      </w:r>
      <w:r w:rsidRPr="00381F95">
        <w:t>, 2023.</w:t>
      </w:r>
      <w:bookmarkEnd w:id="40"/>
    </w:p>
    <w:p w14:paraId="2C9762B0" w14:textId="77777777" w:rsidR="00430EF3" w:rsidRPr="00381F95" w:rsidRDefault="00430EF3" w:rsidP="00E43BF9">
      <w:pPr>
        <w:ind w:right="-22"/>
      </w:pPr>
    </w:p>
    <w:sectPr w:rsidR="00430EF3" w:rsidRPr="00381F9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AA744" w14:textId="77777777" w:rsidR="00551A05" w:rsidRDefault="00551A05" w:rsidP="00001C9B">
      <w:pPr>
        <w:spacing w:after="0" w:line="240" w:lineRule="auto"/>
      </w:pPr>
      <w:r>
        <w:separator/>
      </w:r>
    </w:p>
  </w:endnote>
  <w:endnote w:type="continuationSeparator" w:id="0">
    <w:p w14:paraId="7D0C6F71" w14:textId="77777777" w:rsidR="00551A05" w:rsidRDefault="00551A05" w:rsidP="00001C9B">
      <w:pPr>
        <w:spacing w:after="0" w:line="240" w:lineRule="auto"/>
      </w:pPr>
      <w:r>
        <w:continuationSeparator/>
      </w:r>
    </w:p>
  </w:endnote>
  <w:endnote w:type="continuationNotice" w:id="1">
    <w:p w14:paraId="135D526A" w14:textId="77777777" w:rsidR="0072630C" w:rsidRDefault="007263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2712C" w14:textId="77777777" w:rsidR="00551A05" w:rsidRDefault="00551A05" w:rsidP="00001C9B">
      <w:pPr>
        <w:spacing w:after="0" w:line="240" w:lineRule="auto"/>
      </w:pPr>
      <w:r>
        <w:separator/>
      </w:r>
    </w:p>
  </w:footnote>
  <w:footnote w:type="continuationSeparator" w:id="0">
    <w:p w14:paraId="79EF9F0B" w14:textId="77777777" w:rsidR="00551A05" w:rsidRDefault="00551A05" w:rsidP="00001C9B">
      <w:pPr>
        <w:spacing w:after="0" w:line="240" w:lineRule="auto"/>
      </w:pPr>
      <w:r>
        <w:continuationSeparator/>
      </w:r>
    </w:p>
  </w:footnote>
  <w:footnote w:type="continuationNotice" w:id="1">
    <w:p w14:paraId="6091F24B" w14:textId="77777777" w:rsidR="0072630C" w:rsidRDefault="007263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1F1771"/>
    <w:multiLevelType w:val="hybridMultilevel"/>
    <w:tmpl w:val="22CA0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8F674B"/>
    <w:multiLevelType w:val="hybridMultilevel"/>
    <w:tmpl w:val="0EF63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E71B90"/>
    <w:multiLevelType w:val="hybridMultilevel"/>
    <w:tmpl w:val="10C60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122DC"/>
    <w:multiLevelType w:val="hybridMultilevel"/>
    <w:tmpl w:val="2E4C7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E1C50"/>
    <w:multiLevelType w:val="hybridMultilevel"/>
    <w:tmpl w:val="BDA03DB8"/>
    <w:lvl w:ilvl="0" w:tplc="C0E21E5E">
      <w:start w:val="2"/>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D44522"/>
    <w:multiLevelType w:val="hybridMultilevel"/>
    <w:tmpl w:val="64965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560FCF"/>
    <w:multiLevelType w:val="hybridMultilevel"/>
    <w:tmpl w:val="50C29376"/>
    <w:lvl w:ilvl="0" w:tplc="93FA6084">
      <w:start w:val="3"/>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98330F"/>
    <w:multiLevelType w:val="hybridMultilevel"/>
    <w:tmpl w:val="BC3E2CA4"/>
    <w:lvl w:ilvl="0" w:tplc="E8D6EB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EB13E0"/>
    <w:multiLevelType w:val="hybridMultilevel"/>
    <w:tmpl w:val="062C4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BE2AAD"/>
    <w:multiLevelType w:val="hybridMultilevel"/>
    <w:tmpl w:val="BEC2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126815"/>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7"/>
  </w:num>
  <w:num w:numId="4" w16cid:durableId="517735681">
    <w:abstractNumId w:val="8"/>
  </w:num>
  <w:num w:numId="5" w16cid:durableId="1142041724">
    <w:abstractNumId w:val="23"/>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6"/>
  </w:num>
  <w:num w:numId="16" w16cid:durableId="516113510">
    <w:abstractNumId w:val="6"/>
  </w:num>
  <w:num w:numId="17" w16cid:durableId="1456096507">
    <w:abstractNumId w:val="21"/>
  </w:num>
  <w:num w:numId="18" w16cid:durableId="1397970374">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18"/>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299697709">
    <w:abstractNumId w:val="27"/>
  </w:num>
  <w:num w:numId="28" w16cid:durableId="843668308">
    <w:abstractNumId w:val="24"/>
  </w:num>
  <w:num w:numId="29" w16cid:durableId="1602911970">
    <w:abstractNumId w:val="19"/>
  </w:num>
  <w:num w:numId="30" w16cid:durableId="815685889">
    <w:abstractNumId w:val="11"/>
  </w:num>
  <w:num w:numId="31" w16cid:durableId="26637420">
    <w:abstractNumId w:val="12"/>
  </w:num>
  <w:num w:numId="32" w16cid:durableId="767965804">
    <w:abstractNumId w:val="4"/>
  </w:num>
  <w:num w:numId="33" w16cid:durableId="660699696">
    <w:abstractNumId w:val="20"/>
  </w:num>
  <w:num w:numId="34" w16cid:durableId="700864149">
    <w:abstractNumId w:val="25"/>
  </w:num>
  <w:num w:numId="35" w16cid:durableId="1893927055">
    <w:abstractNumId w:val="2"/>
  </w:num>
  <w:num w:numId="36" w16cid:durableId="1798329371">
    <w:abstractNumId w:val="22"/>
  </w:num>
  <w:num w:numId="37" w16cid:durableId="1741244711">
    <w:abstractNumId w:val="10"/>
  </w:num>
  <w:num w:numId="38" w16cid:durableId="1246187558">
    <w:abstractNumId w:val="5"/>
  </w:num>
  <w:num w:numId="39" w16cid:durableId="4247667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0920653">
    <w:abstractNumId w:val="13"/>
  </w:num>
  <w:num w:numId="41" w16cid:durableId="10350419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1C2D58"/>
    <w:rsid w:val="00001C9B"/>
    <w:rsid w:val="000040DC"/>
    <w:rsid w:val="000065F4"/>
    <w:rsid w:val="00011784"/>
    <w:rsid w:val="000151EF"/>
    <w:rsid w:val="000239F5"/>
    <w:rsid w:val="00050ECA"/>
    <w:rsid w:val="00072CCA"/>
    <w:rsid w:val="000842F3"/>
    <w:rsid w:val="0008612A"/>
    <w:rsid w:val="000876ED"/>
    <w:rsid w:val="00090E18"/>
    <w:rsid w:val="000A10BC"/>
    <w:rsid w:val="000A7F53"/>
    <w:rsid w:val="000B0056"/>
    <w:rsid w:val="000C3C7B"/>
    <w:rsid w:val="000D0F93"/>
    <w:rsid w:val="00106416"/>
    <w:rsid w:val="00110481"/>
    <w:rsid w:val="001127C9"/>
    <w:rsid w:val="00114498"/>
    <w:rsid w:val="00115B88"/>
    <w:rsid w:val="00132F6A"/>
    <w:rsid w:val="00133913"/>
    <w:rsid w:val="00140221"/>
    <w:rsid w:val="00142B7B"/>
    <w:rsid w:val="001642FC"/>
    <w:rsid w:val="0016496B"/>
    <w:rsid w:val="001700D9"/>
    <w:rsid w:val="001743E2"/>
    <w:rsid w:val="001745F8"/>
    <w:rsid w:val="001838CF"/>
    <w:rsid w:val="001868EE"/>
    <w:rsid w:val="001A3BA4"/>
    <w:rsid w:val="001A6D1F"/>
    <w:rsid w:val="001B1EA8"/>
    <w:rsid w:val="001C2D58"/>
    <w:rsid w:val="001D270C"/>
    <w:rsid w:val="001E30F6"/>
    <w:rsid w:val="001F75EE"/>
    <w:rsid w:val="00206F18"/>
    <w:rsid w:val="00217EE5"/>
    <w:rsid w:val="00235F5C"/>
    <w:rsid w:val="00253D4E"/>
    <w:rsid w:val="00257FA3"/>
    <w:rsid w:val="00277B56"/>
    <w:rsid w:val="00282A74"/>
    <w:rsid w:val="002A0067"/>
    <w:rsid w:val="002A19F5"/>
    <w:rsid w:val="002A2E2A"/>
    <w:rsid w:val="002A7F53"/>
    <w:rsid w:val="002B4922"/>
    <w:rsid w:val="002B69F3"/>
    <w:rsid w:val="002C22C3"/>
    <w:rsid w:val="002C2D19"/>
    <w:rsid w:val="002C77AE"/>
    <w:rsid w:val="002D10FA"/>
    <w:rsid w:val="002D4C55"/>
    <w:rsid w:val="002E01F5"/>
    <w:rsid w:val="002E6DED"/>
    <w:rsid w:val="002E7CB9"/>
    <w:rsid w:val="002F6DD2"/>
    <w:rsid w:val="00300956"/>
    <w:rsid w:val="00317187"/>
    <w:rsid w:val="0032499A"/>
    <w:rsid w:val="00331165"/>
    <w:rsid w:val="00332CDC"/>
    <w:rsid w:val="00333F7D"/>
    <w:rsid w:val="003341F7"/>
    <w:rsid w:val="003427AF"/>
    <w:rsid w:val="00347FEC"/>
    <w:rsid w:val="003509DF"/>
    <w:rsid w:val="00356F45"/>
    <w:rsid w:val="00366B74"/>
    <w:rsid w:val="00370B6F"/>
    <w:rsid w:val="00381F95"/>
    <w:rsid w:val="003A710A"/>
    <w:rsid w:val="003B659E"/>
    <w:rsid w:val="003C0F92"/>
    <w:rsid w:val="003C275E"/>
    <w:rsid w:val="003C4FDE"/>
    <w:rsid w:val="003E58DF"/>
    <w:rsid w:val="00404C4C"/>
    <w:rsid w:val="004059FB"/>
    <w:rsid w:val="00413B72"/>
    <w:rsid w:val="0041423F"/>
    <w:rsid w:val="00414F81"/>
    <w:rsid w:val="00430EF3"/>
    <w:rsid w:val="0043217D"/>
    <w:rsid w:val="00436A0F"/>
    <w:rsid w:val="00437150"/>
    <w:rsid w:val="0043750A"/>
    <w:rsid w:val="00447577"/>
    <w:rsid w:val="004518F1"/>
    <w:rsid w:val="004732E9"/>
    <w:rsid w:val="004854BB"/>
    <w:rsid w:val="00494493"/>
    <w:rsid w:val="00496606"/>
    <w:rsid w:val="004D368A"/>
    <w:rsid w:val="004E5E66"/>
    <w:rsid w:val="004E7ADB"/>
    <w:rsid w:val="004F59F5"/>
    <w:rsid w:val="00503B4D"/>
    <w:rsid w:val="00504EE9"/>
    <w:rsid w:val="00521576"/>
    <w:rsid w:val="005250E6"/>
    <w:rsid w:val="00542D23"/>
    <w:rsid w:val="0054442C"/>
    <w:rsid w:val="00550285"/>
    <w:rsid w:val="00551A05"/>
    <w:rsid w:val="00562492"/>
    <w:rsid w:val="00572A20"/>
    <w:rsid w:val="005836F8"/>
    <w:rsid w:val="005918FA"/>
    <w:rsid w:val="00592A86"/>
    <w:rsid w:val="00594F5F"/>
    <w:rsid w:val="005950FF"/>
    <w:rsid w:val="005B3029"/>
    <w:rsid w:val="005B4801"/>
    <w:rsid w:val="005C23A4"/>
    <w:rsid w:val="005D1CDF"/>
    <w:rsid w:val="005D2BB7"/>
    <w:rsid w:val="005D46A8"/>
    <w:rsid w:val="005D6FFE"/>
    <w:rsid w:val="005E61A8"/>
    <w:rsid w:val="005F6419"/>
    <w:rsid w:val="0060301D"/>
    <w:rsid w:val="0060543D"/>
    <w:rsid w:val="006104DD"/>
    <w:rsid w:val="006111A5"/>
    <w:rsid w:val="00611AFC"/>
    <w:rsid w:val="006130B5"/>
    <w:rsid w:val="00617400"/>
    <w:rsid w:val="00630FFE"/>
    <w:rsid w:val="00632D29"/>
    <w:rsid w:val="00634F6F"/>
    <w:rsid w:val="0065159A"/>
    <w:rsid w:val="00656658"/>
    <w:rsid w:val="00664950"/>
    <w:rsid w:val="00683220"/>
    <w:rsid w:val="00687FA0"/>
    <w:rsid w:val="006929B2"/>
    <w:rsid w:val="006A3C11"/>
    <w:rsid w:val="006B7010"/>
    <w:rsid w:val="006C11A6"/>
    <w:rsid w:val="006C3095"/>
    <w:rsid w:val="006D5E69"/>
    <w:rsid w:val="006E1151"/>
    <w:rsid w:val="006E15EB"/>
    <w:rsid w:val="006E200E"/>
    <w:rsid w:val="006E6311"/>
    <w:rsid w:val="006F15EA"/>
    <w:rsid w:val="007145FF"/>
    <w:rsid w:val="00715B2A"/>
    <w:rsid w:val="0072630C"/>
    <w:rsid w:val="00733B21"/>
    <w:rsid w:val="007450F1"/>
    <w:rsid w:val="00751515"/>
    <w:rsid w:val="007626B7"/>
    <w:rsid w:val="00776106"/>
    <w:rsid w:val="0078212B"/>
    <w:rsid w:val="00784DF6"/>
    <w:rsid w:val="00785232"/>
    <w:rsid w:val="007B186C"/>
    <w:rsid w:val="007B481E"/>
    <w:rsid w:val="007B7C7E"/>
    <w:rsid w:val="007C1696"/>
    <w:rsid w:val="007C3ED0"/>
    <w:rsid w:val="007C48C4"/>
    <w:rsid w:val="007C5971"/>
    <w:rsid w:val="007D65BB"/>
    <w:rsid w:val="007E42DC"/>
    <w:rsid w:val="007F54B9"/>
    <w:rsid w:val="00806A76"/>
    <w:rsid w:val="00811C9D"/>
    <w:rsid w:val="00816C80"/>
    <w:rsid w:val="00841BCD"/>
    <w:rsid w:val="00842DCD"/>
    <w:rsid w:val="00847264"/>
    <w:rsid w:val="00851A8E"/>
    <w:rsid w:val="0085365B"/>
    <w:rsid w:val="008579F2"/>
    <w:rsid w:val="008826C1"/>
    <w:rsid w:val="00883DFD"/>
    <w:rsid w:val="0089210C"/>
    <w:rsid w:val="00893D2E"/>
    <w:rsid w:val="008A1BF7"/>
    <w:rsid w:val="008A5B0E"/>
    <w:rsid w:val="008B0961"/>
    <w:rsid w:val="008C39F7"/>
    <w:rsid w:val="008E2891"/>
    <w:rsid w:val="008E4A52"/>
    <w:rsid w:val="0090091A"/>
    <w:rsid w:val="009010B8"/>
    <w:rsid w:val="009042BD"/>
    <w:rsid w:val="00904FE4"/>
    <w:rsid w:val="009151FA"/>
    <w:rsid w:val="00917899"/>
    <w:rsid w:val="00927740"/>
    <w:rsid w:val="00936159"/>
    <w:rsid w:val="00941C56"/>
    <w:rsid w:val="009453EF"/>
    <w:rsid w:val="00977E1D"/>
    <w:rsid w:val="0099133A"/>
    <w:rsid w:val="009B0573"/>
    <w:rsid w:val="009B7B4B"/>
    <w:rsid w:val="009B7C21"/>
    <w:rsid w:val="009E4E6E"/>
    <w:rsid w:val="00A04992"/>
    <w:rsid w:val="00A147AA"/>
    <w:rsid w:val="00A16D6D"/>
    <w:rsid w:val="00A21D71"/>
    <w:rsid w:val="00A22B78"/>
    <w:rsid w:val="00A25AE5"/>
    <w:rsid w:val="00A26442"/>
    <w:rsid w:val="00A37002"/>
    <w:rsid w:val="00A4148A"/>
    <w:rsid w:val="00A4355E"/>
    <w:rsid w:val="00A520D9"/>
    <w:rsid w:val="00A64DA0"/>
    <w:rsid w:val="00A8046E"/>
    <w:rsid w:val="00A92BCD"/>
    <w:rsid w:val="00AA1B0E"/>
    <w:rsid w:val="00AA47B6"/>
    <w:rsid w:val="00AB14F2"/>
    <w:rsid w:val="00AC163B"/>
    <w:rsid w:val="00AC5CA7"/>
    <w:rsid w:val="00AC6058"/>
    <w:rsid w:val="00AE2BA5"/>
    <w:rsid w:val="00AE56B1"/>
    <w:rsid w:val="00AE6D09"/>
    <w:rsid w:val="00AF7A7C"/>
    <w:rsid w:val="00B02070"/>
    <w:rsid w:val="00B12E90"/>
    <w:rsid w:val="00B408B6"/>
    <w:rsid w:val="00B41A0B"/>
    <w:rsid w:val="00B542DA"/>
    <w:rsid w:val="00B62442"/>
    <w:rsid w:val="00B73862"/>
    <w:rsid w:val="00B73F43"/>
    <w:rsid w:val="00B75BBF"/>
    <w:rsid w:val="00B81CDC"/>
    <w:rsid w:val="00BA0B6D"/>
    <w:rsid w:val="00BA308C"/>
    <w:rsid w:val="00BA6B66"/>
    <w:rsid w:val="00BA6E48"/>
    <w:rsid w:val="00BC2C51"/>
    <w:rsid w:val="00BC6CB0"/>
    <w:rsid w:val="00BE0AF6"/>
    <w:rsid w:val="00BE1F03"/>
    <w:rsid w:val="00BE58A7"/>
    <w:rsid w:val="00BF2218"/>
    <w:rsid w:val="00C0426B"/>
    <w:rsid w:val="00C045DF"/>
    <w:rsid w:val="00C26D43"/>
    <w:rsid w:val="00C35173"/>
    <w:rsid w:val="00C35AEB"/>
    <w:rsid w:val="00C46548"/>
    <w:rsid w:val="00C574D5"/>
    <w:rsid w:val="00C73F32"/>
    <w:rsid w:val="00C81979"/>
    <w:rsid w:val="00C87462"/>
    <w:rsid w:val="00C97583"/>
    <w:rsid w:val="00CA180C"/>
    <w:rsid w:val="00CB22B2"/>
    <w:rsid w:val="00CC1D86"/>
    <w:rsid w:val="00CC3EE2"/>
    <w:rsid w:val="00CD7492"/>
    <w:rsid w:val="00CE3A6B"/>
    <w:rsid w:val="00D00211"/>
    <w:rsid w:val="00D006D1"/>
    <w:rsid w:val="00D025AE"/>
    <w:rsid w:val="00D06309"/>
    <w:rsid w:val="00D351EA"/>
    <w:rsid w:val="00D40288"/>
    <w:rsid w:val="00D421F5"/>
    <w:rsid w:val="00D43403"/>
    <w:rsid w:val="00D50A6B"/>
    <w:rsid w:val="00D5270B"/>
    <w:rsid w:val="00D62E71"/>
    <w:rsid w:val="00D6430D"/>
    <w:rsid w:val="00D66188"/>
    <w:rsid w:val="00D731F6"/>
    <w:rsid w:val="00D740CA"/>
    <w:rsid w:val="00D81C89"/>
    <w:rsid w:val="00D85728"/>
    <w:rsid w:val="00D95481"/>
    <w:rsid w:val="00DB1709"/>
    <w:rsid w:val="00DC6C10"/>
    <w:rsid w:val="00DC7A13"/>
    <w:rsid w:val="00DD48AC"/>
    <w:rsid w:val="00DE3594"/>
    <w:rsid w:val="00DE6F3C"/>
    <w:rsid w:val="00DE7064"/>
    <w:rsid w:val="00DF2997"/>
    <w:rsid w:val="00E10BC4"/>
    <w:rsid w:val="00E1415D"/>
    <w:rsid w:val="00E323E9"/>
    <w:rsid w:val="00E34018"/>
    <w:rsid w:val="00E437D2"/>
    <w:rsid w:val="00E43BF9"/>
    <w:rsid w:val="00E55751"/>
    <w:rsid w:val="00E7398E"/>
    <w:rsid w:val="00E95C49"/>
    <w:rsid w:val="00EA1E96"/>
    <w:rsid w:val="00EA2311"/>
    <w:rsid w:val="00EC7BC3"/>
    <w:rsid w:val="00ED7600"/>
    <w:rsid w:val="00EF6073"/>
    <w:rsid w:val="00EF698B"/>
    <w:rsid w:val="00F1362C"/>
    <w:rsid w:val="00F1554B"/>
    <w:rsid w:val="00F414F1"/>
    <w:rsid w:val="00F508B8"/>
    <w:rsid w:val="00F62555"/>
    <w:rsid w:val="00F67984"/>
    <w:rsid w:val="00F72CB1"/>
    <w:rsid w:val="00F73FCC"/>
    <w:rsid w:val="00F8215E"/>
    <w:rsid w:val="00F824F5"/>
    <w:rsid w:val="00F90FAB"/>
    <w:rsid w:val="00F9374D"/>
    <w:rsid w:val="00FB1DA5"/>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4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A52"/>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0065F4"/>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LCar">
    <w:name w:val="TAL Car"/>
    <w:link w:val="TAL"/>
    <w:qFormat/>
    <w:locked/>
    <w:rsid w:val="0043217D"/>
    <w:rPr>
      <w:rFonts w:ascii="Arial" w:eastAsia="Times New Roman" w:hAnsi="Arial" w:cs="Arial"/>
      <w:sz w:val="18"/>
      <w:lang w:val="en-GB" w:eastAsia="ja-JP"/>
    </w:rPr>
  </w:style>
  <w:style w:type="paragraph" w:customStyle="1" w:styleId="TAL">
    <w:name w:val="TAL"/>
    <w:basedOn w:val="Normal"/>
    <w:link w:val="TALCar"/>
    <w:qFormat/>
    <w:rsid w:val="0043217D"/>
    <w:pPr>
      <w:keepNext/>
      <w:keepLines/>
      <w:overflowPunct w:val="0"/>
      <w:autoSpaceDE w:val="0"/>
      <w:autoSpaceDN w:val="0"/>
      <w:adjustRightInd w:val="0"/>
      <w:spacing w:after="0" w:line="240" w:lineRule="auto"/>
    </w:pPr>
    <w:rPr>
      <w:rFonts w:ascii="Arial" w:eastAsia="Times New Roman" w:hAnsi="Arial" w:cs="Arial"/>
      <w:sz w:val="18"/>
      <w:lang w:eastAsia="ja-JP"/>
    </w:rPr>
  </w:style>
  <w:style w:type="paragraph" w:styleId="Header">
    <w:name w:val="header"/>
    <w:basedOn w:val="Normal"/>
    <w:link w:val="HeaderChar"/>
    <w:uiPriority w:val="99"/>
    <w:unhideWhenUsed/>
    <w:rsid w:val="0072630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630C"/>
    <w:rPr>
      <w:rFonts w:ascii="Times New Roman" w:hAnsi="Times New Roman"/>
      <w:sz w:val="20"/>
      <w:lang w:val="en-GB"/>
    </w:rPr>
  </w:style>
  <w:style w:type="paragraph" w:styleId="Footer">
    <w:name w:val="footer"/>
    <w:basedOn w:val="Normal"/>
    <w:link w:val="FooterChar"/>
    <w:uiPriority w:val="99"/>
    <w:unhideWhenUsed/>
    <w:rsid w:val="0072630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630C"/>
    <w:rPr>
      <w:rFonts w:ascii="Times New Roman" w:hAnsi="Times New Roman"/>
      <w:sz w:val="20"/>
      <w:lang w:val="en-GB"/>
    </w:rPr>
  </w:style>
  <w:style w:type="paragraph" w:styleId="Revision">
    <w:name w:val="Revision"/>
    <w:hidden/>
    <w:uiPriority w:val="99"/>
    <w:semiHidden/>
    <w:rsid w:val="0072630C"/>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7263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06441">
      <w:bodyDiv w:val="1"/>
      <w:marLeft w:val="0"/>
      <w:marRight w:val="0"/>
      <w:marTop w:val="0"/>
      <w:marBottom w:val="0"/>
      <w:divBdr>
        <w:top w:val="none" w:sz="0" w:space="0" w:color="auto"/>
        <w:left w:val="none" w:sz="0" w:space="0" w:color="auto"/>
        <w:bottom w:val="none" w:sz="0" w:space="0" w:color="auto"/>
        <w:right w:val="none" w:sz="0" w:space="0" w:color="auto"/>
      </w:divBdr>
    </w:div>
    <w:div w:id="1736850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RBI5PAMIO524-1616901215-9133</_dlc_DocId>
    <HideFromDelve xmlns="71c5aaf6-e6ce-465b-b873-5148d2a4c105">false</HideFromDelve>
    <_dlc_DocIdUrl xmlns="71c5aaf6-e6ce-465b-b873-5148d2a4c105">
      <Url>https://nokia.sharepoint.com/sites/gxp/_layouts/15/DocIdRedir.aspx?ID=RBI5PAMIO524-1616901215-9133</Url>
      <Description>RBI5PAMIO524-1616901215-9133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EEAE814-9DA4-4B0D-B212-B38C46E4D666}">
  <ds:schemaRefs>
    <ds:schemaRef ds:uri="http://schemas.openxmlformats.org/officeDocument/2006/bibliography"/>
  </ds:schemaRefs>
</ds:datastoreItem>
</file>

<file path=customXml/itemProps2.xml><?xml version="1.0" encoding="utf-8"?>
<ds:datastoreItem xmlns:ds="http://schemas.openxmlformats.org/officeDocument/2006/customXml" ds:itemID="{D082237E-90DF-4411-9462-F610122C7D1A}"/>
</file>

<file path=customXml/itemProps3.xml><?xml version="1.0" encoding="utf-8"?>
<ds:datastoreItem xmlns:ds="http://schemas.openxmlformats.org/officeDocument/2006/customXml" ds:itemID="{6099E71F-75FA-4D9C-8A99-9F4BDEFAFD2A}"/>
</file>

<file path=customXml/itemProps4.xml><?xml version="1.0" encoding="utf-8"?>
<ds:datastoreItem xmlns:ds="http://schemas.openxmlformats.org/officeDocument/2006/customXml" ds:itemID="{4038DA37-2A19-4284-BF48-83296764C43F}"/>
</file>

<file path=customXml/itemProps5.xml><?xml version="1.0" encoding="utf-8"?>
<ds:datastoreItem xmlns:ds="http://schemas.openxmlformats.org/officeDocument/2006/customXml" ds:itemID="{0896D3A9-04EF-4FC8-B045-3C81CEB7D839}"/>
</file>

<file path=customXml/itemProps6.xml><?xml version="1.0" encoding="utf-8"?>
<ds:datastoreItem xmlns:ds="http://schemas.openxmlformats.org/officeDocument/2006/customXml" ds:itemID="{42C39520-8A84-4E8D-9CC0-79AAB2EB76EF}"/>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4198</Words>
  <Characters>23935</Characters>
  <Application>Microsoft Office Word</Application>
  <DocSecurity>0</DocSecurity>
  <Lines>199</Lines>
  <Paragraphs>56</Paragraphs>
  <ScaleCrop>false</ScaleCrop>
  <Company/>
  <LinksUpToDate>false</LinksUpToDate>
  <CharactersWithSpaces>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2024-02-19T21:11:00Z</dcterms:created>
  <dcterms:modified xsi:type="dcterms:W3CDTF">2024-02-19T21:11:00Z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791fde31-14b0-4555-be32-a05f39771b06</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